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707" w:tblpY="573"/>
        <w:tblOverlap w:val="never"/>
        <w:tblW w:w="1131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5"/>
        <w:gridCol w:w="2736"/>
        <w:gridCol w:w="4105"/>
        <w:gridCol w:w="415"/>
      </w:tblGrid>
      <w:tr w14:paraId="2FDF0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325" w:hRule="atLeast"/>
        </w:trPr>
        <w:tc>
          <w:tcPr>
            <w:tcW w:w="405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4452DC80">
            <w:pPr>
              <w:widowControl/>
              <w:autoSpaceDE/>
              <w:autoSpaceDN/>
              <w:rPr>
                <w:rFonts w:eastAsia="Calibri"/>
                <w:b/>
                <w:color w:val="000000"/>
                <w:sz w:val="20"/>
              </w:rPr>
            </w:pPr>
            <w:bookmarkStart w:id="0" w:name="Комплект_навчальний_вогневої_підготовки"/>
            <w:bookmarkEnd w:id="0"/>
            <w:r>
              <w:rPr>
                <w:rFonts w:eastAsia="Calibri"/>
                <w:b/>
                <w:color w:val="000000"/>
                <w:sz w:val="20"/>
                <w:lang w:val="en-US"/>
              </w:rPr>
              <w:t xml:space="preserve">LLC « SCIENTIFIC PRODUCTIONAL CENTRE «ALEX-RUBIN» </w:t>
            </w:r>
          </w:p>
          <w:p w14:paraId="39E204D3">
            <w:pPr>
              <w:widowControl/>
              <w:autoSpaceDE/>
              <w:autoSpaceDN/>
              <w:ind w:left="440" w:leftChars="200" w:firstLine="123" w:firstLineChars="205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2EDFE2D4">
            <w:pPr>
              <w:widowControl/>
              <w:autoSpaceDE/>
              <w:autoSpaceDN/>
              <w:ind w:right="-245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Postcode 69</w:t>
            </w:r>
            <w:r>
              <w:rPr>
                <w:rFonts w:eastAsia="Calibri"/>
                <w:color w:val="000000"/>
                <w:sz w:val="20"/>
              </w:rPr>
              <w:t>124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, Ukraine, Zaporizhzhia </w:t>
            </w:r>
          </w:p>
          <w:p w14:paraId="5E0DA020">
            <w:pPr>
              <w:widowControl/>
              <w:autoSpaceDE/>
              <w:autoSpaceDN/>
              <w:ind w:right="-245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Doroshenka street, 1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 \ </w:t>
            </w:r>
            <w:r>
              <w:rPr>
                <w:rFonts w:eastAsia="Calibri"/>
                <w:color w:val="000000"/>
                <w:sz w:val="20"/>
              </w:rPr>
              <w:t>2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4, office № </w:t>
            </w:r>
            <w:r>
              <w:rPr>
                <w:rFonts w:eastAsia="Calibri"/>
                <w:color w:val="000000"/>
                <w:sz w:val="20"/>
              </w:rPr>
              <w:t>1</w:t>
            </w:r>
          </w:p>
          <w:p w14:paraId="4BC4E5E8">
            <w:pPr>
              <w:widowControl/>
              <w:autoSpaceDE/>
              <w:autoSpaceDN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tel.: +38(097) 487-</w:t>
            </w:r>
            <w:r>
              <w:rPr>
                <w:rFonts w:hint="default" w:eastAsia="Calibri"/>
                <w:color w:val="000000"/>
                <w:sz w:val="20"/>
                <w:lang w:val="ru-RU"/>
              </w:rPr>
              <w:t>1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7-71, +38(095) </w:t>
            </w:r>
            <w:r>
              <w:rPr>
                <w:rFonts w:eastAsia="Calibri"/>
                <w:color w:val="000000"/>
                <w:sz w:val="20"/>
              </w:rPr>
              <w:t>548</w:t>
            </w:r>
            <w:r>
              <w:rPr>
                <w:rFonts w:eastAsia="Calibri"/>
                <w:color w:val="000000"/>
                <w:sz w:val="20"/>
                <w:lang w:val="en-US"/>
              </w:rPr>
              <w:t>-8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>-</w:t>
            </w:r>
            <w:r>
              <w:rPr>
                <w:rFonts w:eastAsia="Calibri"/>
                <w:color w:val="000000"/>
                <w:sz w:val="20"/>
              </w:rPr>
              <w:t>94</w:t>
            </w:r>
          </w:p>
          <w:p w14:paraId="5BB4DFE7">
            <w:pPr>
              <w:widowControl/>
              <w:autoSpaceDE/>
              <w:autoSpaceDN/>
              <w:rPr>
                <w:rFonts w:eastAsia="Calibri"/>
                <w:color w:val="000000"/>
                <w:sz w:val="20"/>
                <w:u w:val="none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E-mail: </w:t>
            </w:r>
            <w:r>
              <w:rPr>
                <w:u w:val="none"/>
              </w:rPr>
              <w:fldChar w:fldCharType="begin"/>
            </w:r>
            <w:r>
              <w:rPr>
                <w:u w:val="none"/>
              </w:rPr>
              <w:instrText xml:space="preserve"> HYPERLINK "mailto:alex-rubin@ukr.net" </w:instrText>
            </w:r>
            <w:r>
              <w:rPr>
                <w:u w:val="none"/>
              </w:rPr>
              <w:fldChar w:fldCharType="separate"/>
            </w:r>
            <w:r>
              <w:rPr>
                <w:rStyle w:val="4"/>
                <w:rFonts w:eastAsia="Calibri"/>
                <w:sz w:val="20"/>
                <w:u w:val="none"/>
                <w:lang w:val="en-US"/>
              </w:rPr>
              <w:t>alex</w:t>
            </w:r>
            <w:r>
              <w:rPr>
                <w:rStyle w:val="4"/>
                <w:rFonts w:hint="default" w:eastAsia="Calibri"/>
                <w:sz w:val="20"/>
                <w:u w:val="none"/>
                <w:lang w:val="ru-RU"/>
              </w:rPr>
              <w:t>_</w:t>
            </w:r>
            <w:r>
              <w:rPr>
                <w:rStyle w:val="4"/>
                <w:rFonts w:eastAsia="Calibri"/>
                <w:sz w:val="20"/>
                <w:u w:val="none"/>
                <w:lang w:val="en-US"/>
              </w:rPr>
              <w:t>rubin@ukr.net</w:t>
            </w:r>
            <w:r>
              <w:rPr>
                <w:rStyle w:val="4"/>
                <w:rFonts w:eastAsia="Calibri"/>
                <w:sz w:val="20"/>
                <w:u w:val="none"/>
                <w:lang w:val="en-US"/>
              </w:rPr>
              <w:fldChar w:fldCharType="end"/>
            </w:r>
          </w:p>
          <w:p w14:paraId="6F6CF234">
            <w:pPr>
              <w:widowControl/>
              <w:autoSpaceDE/>
              <w:autoSpaceDN/>
              <w:rPr>
                <w:rStyle w:val="4"/>
                <w:rFonts w:eastAsia="Calibri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alex</w:t>
            </w:r>
            <w:r>
              <w:rPr>
                <w:rStyle w:val="4"/>
                <w:rFonts w:eastAsia="Calibri"/>
                <w:sz w:val="20"/>
                <w:lang w:val="ru-RU"/>
              </w:rPr>
              <w:t>-</w:t>
            </w:r>
            <w:r>
              <w:rPr>
                <w:rStyle w:val="4"/>
                <w:rFonts w:eastAsia="Calibri"/>
                <w:sz w:val="20"/>
                <w:lang w:val="en-US"/>
              </w:rPr>
              <w:t>rubin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pro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7472B6B8">
            <w:pPr>
              <w:widowControl/>
              <w:autoSpaceDE/>
              <w:autoSpaceDN/>
              <w:ind w:firstLine="440" w:firstLineChars="200"/>
              <w:rPr>
                <w:rFonts w:eastAsia="Calibri"/>
                <w:color w:val="000000"/>
                <w:sz w:val="20"/>
                <w:u w:val="single"/>
                <w:lang w:val="ru-RU"/>
              </w:rPr>
            </w:pP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www.laser-tir.com.ua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6FD8AC9F">
            <w:pPr>
              <w:widowControl/>
              <w:autoSpaceDE/>
              <w:autoSpaceDN/>
              <w:rPr>
                <w:rFonts w:ascii="Calibri" w:hAnsi="Calibri" w:eastAsia="Calibri"/>
                <w:lang w:val="ru-RU"/>
              </w:rPr>
            </w:pPr>
          </w:p>
        </w:tc>
        <w:tc>
          <w:tcPr>
            <w:tcW w:w="2736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5E8B4AE4">
            <w:pPr>
              <w:widowControl/>
              <w:autoSpaceDE/>
              <w:autoSpaceDN/>
              <w:ind w:left="0" w:leftChars="0" w:firstLine="0" w:firstLineChars="0"/>
              <w:jc w:val="both"/>
              <w:rPr>
                <w:rFonts w:ascii="Calibri" w:hAnsi="Calibri" w:eastAsia="Calibri"/>
                <w:lang w:val="ru-RU" w:eastAsia="uk-UA"/>
              </w:rPr>
            </w:pPr>
            <w:r>
              <w:rPr>
                <w:rFonts w:ascii="Calibri" w:hAnsi="Calibri" w:eastAsia="Calibri"/>
                <w:lang w:eastAsia="uk-UA"/>
              </w:rPr>
              <w:drawing>
                <wp:inline distT="0" distB="0" distL="0" distR="0">
                  <wp:extent cx="1525270" cy="1758950"/>
                  <wp:effectExtent l="0" t="0" r="13970" b="8890"/>
                  <wp:docPr id="1782618199" name="Рисунок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18199" name="Рисунок 2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gridSpan w:val="2"/>
            <w:tcBorders>
              <w:top w:val="single" w:color="FFFFFF" w:sz="4" w:space="0"/>
              <w:left w:val="single" w:color="FFFFFF" w:sz="4" w:space="0"/>
              <w:bottom w:val="nil"/>
              <w:right w:val="single" w:color="FFFFFF" w:sz="4" w:space="0"/>
            </w:tcBorders>
          </w:tcPr>
          <w:p w14:paraId="0B6703D3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>ТОВ «НАУКОВО-ВИРОБНИЧИЙ</w:t>
            </w:r>
          </w:p>
          <w:p w14:paraId="0A0A74BF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>ЦЕНТР   «АЛЕКС-РУБІН»</w:t>
            </w:r>
          </w:p>
          <w:p w14:paraId="4E2D749D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429E48D9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69124, Україна, м. Запоріжжя вул. </w:t>
            </w:r>
          </w:p>
          <w:p w14:paraId="5BEAA0AC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Дорошенка, 14 \ 24, оф. 1</w:t>
            </w:r>
          </w:p>
          <w:p w14:paraId="5322CFD5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ел.+38(097) 487-17-71,+38(095) 548-84-94</w:t>
            </w:r>
          </w:p>
          <w:p w14:paraId="798C070D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E-mail:</w:t>
            </w:r>
            <w:r>
              <w:rPr>
                <w:rFonts w:hint="default" w:eastAsia="Calibri"/>
                <w:color w:val="000000"/>
                <w:sz w:val="20"/>
                <w:lang w:val="ru-RU"/>
              </w:rPr>
              <w:t xml:space="preserve"> </w:t>
            </w:r>
            <w:r>
              <w:rPr>
                <w:u w:val="none"/>
              </w:rPr>
              <w:fldChar w:fldCharType="begin"/>
            </w:r>
            <w:r>
              <w:rPr>
                <w:u w:val="none"/>
              </w:rPr>
              <w:instrText xml:space="preserve"> HYPERLINK "mailto:alex-rubin@ukr.net" </w:instrText>
            </w:r>
            <w:r>
              <w:rPr>
                <w:u w:val="none"/>
              </w:rPr>
              <w:fldChar w:fldCharType="separate"/>
            </w:r>
            <w:r>
              <w:rPr>
                <w:rStyle w:val="4"/>
                <w:rFonts w:eastAsia="Calibri"/>
                <w:sz w:val="20"/>
                <w:u w:val="none"/>
              </w:rPr>
              <w:t>alex</w:t>
            </w:r>
            <w:r>
              <w:rPr>
                <w:rStyle w:val="4"/>
                <w:rFonts w:hint="default" w:eastAsia="Calibri"/>
                <w:sz w:val="20"/>
                <w:u w:val="none"/>
                <w:lang w:val="ru-RU"/>
              </w:rPr>
              <w:t>_</w:t>
            </w:r>
            <w:r>
              <w:rPr>
                <w:rStyle w:val="4"/>
                <w:rFonts w:eastAsia="Calibri"/>
                <w:sz w:val="20"/>
                <w:u w:val="none"/>
              </w:rPr>
              <w:t>rubin@ukr.net</w:t>
            </w:r>
            <w:r>
              <w:rPr>
                <w:rStyle w:val="4"/>
                <w:rFonts w:eastAsia="Calibri"/>
                <w:sz w:val="20"/>
                <w:u w:val="none"/>
              </w:rPr>
              <w:fldChar w:fldCharType="end"/>
            </w:r>
          </w:p>
          <w:p w14:paraId="0BF7746A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>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www.alex-rubin.pro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2F39AF32">
            <w:pPr>
              <w:widowControl/>
              <w:autoSpaceDE/>
              <w:autoSpaceDN/>
              <w:ind w:left="220" w:leftChars="100" w:firstLine="0" w:firstLineChars="0"/>
              <w:rPr>
                <w:rFonts w:eastAsia="Calibri"/>
                <w:color w:val="0000FF"/>
                <w:sz w:val="20"/>
                <w:u w:val="single"/>
              </w:rPr>
            </w:pPr>
            <w:r>
              <w:rPr>
                <w:rFonts w:ascii="Calibri" w:hAnsi="Calibri" w:eastAsia="Calibri"/>
                <w:sz w:val="20"/>
              </w:rPr>
              <w:t xml:space="preserve">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Fonts w:eastAsia="Calibri"/>
                <w:color w:val="0000FF"/>
                <w:sz w:val="20"/>
                <w:u w:val="single"/>
              </w:rPr>
              <w:t>www.laser-tir.com.ua</w:t>
            </w:r>
            <w:r>
              <w:rPr>
                <w:rFonts w:eastAsia="Calibri"/>
                <w:color w:val="0000FF"/>
                <w:sz w:val="20"/>
                <w:u w:val="single"/>
              </w:rPr>
              <w:fldChar w:fldCharType="end"/>
            </w:r>
          </w:p>
          <w:p w14:paraId="5302DCD7">
            <w:pPr>
              <w:widowControl/>
              <w:autoSpaceDE/>
              <w:autoSpaceDN/>
              <w:ind w:left="440" w:leftChars="200" w:firstLine="368" w:firstLineChars="205"/>
              <w:jc w:val="right"/>
              <w:rPr>
                <w:rFonts w:ascii="Calibri" w:hAnsi="Calibri" w:eastAsia="Calibri"/>
                <w:sz w:val="18"/>
              </w:rPr>
            </w:pPr>
          </w:p>
        </w:tc>
      </w:tr>
      <w:tr w14:paraId="26249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5" w:type="dxa"/>
          <w:trHeight w:val="359" w:hRule="atLeast"/>
        </w:trPr>
        <w:tc>
          <w:tcPr>
            <w:tcW w:w="108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2A2345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  <w:p w14:paraId="1B61A054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uk-UA"/>
              </w:rPr>
            </w:pPr>
            <w:r>
              <w:rPr>
                <w:rFonts w:ascii="Times New Roman CYR" w:hAnsi="Times New Roman CYR" w:eastAsia="Calibri"/>
                <w:bCs/>
                <w:kern w:val="2"/>
              </w:rPr>
              <w:t xml:space="preserve"> ЄДРПОУ: 37778172, </w:t>
            </w:r>
            <w:r>
              <w:rPr>
                <w:rFonts w:ascii="Times New Roman CYR" w:hAnsi="Times New Roman CYR" w:eastAsia="Calibri"/>
                <w:bCs/>
              </w:rPr>
              <w:t>IBAN: UA043133990000026008060519752    АТ КБ "ПРИВАТБАНК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  <w:p w14:paraId="0B50644D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uk-UA"/>
              </w:rPr>
            </w:pPr>
            <w:r>
              <w:rPr>
                <w:rFonts w:ascii="Times New Roman CYR" w:hAnsi="Times New Roman CYR" w:eastAsia="Calibri"/>
                <w:bCs/>
              </w:rPr>
              <w:t xml:space="preserve">                    IBAN: UA153077700000026004211121165   АТ "А-Ба</w:t>
            </w:r>
            <w:r>
              <w:rPr>
                <w:rFonts w:ascii="Times New Roman CYR" w:hAnsi="Times New Roman CYR" w:eastAsia="Calibri"/>
                <w:bCs/>
                <w:lang w:val="uk-UA"/>
              </w:rPr>
              <w:t>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</w:tc>
      </w:tr>
      <w:tr w14:paraId="2554D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5" w:type="dxa"/>
          <w:trHeight w:val="115" w:hRule="atLeast"/>
        </w:trPr>
        <w:tc>
          <w:tcPr>
            <w:tcW w:w="10896" w:type="dxa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</w:tcPr>
          <w:p w14:paraId="23DB0B7F">
            <w:pPr>
              <w:widowControl/>
              <w:autoSpaceDE/>
              <w:autoSpaceDN/>
              <w:ind w:left="440" w:leftChars="200" w:firstLine="450" w:firstLineChars="205"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</w:tc>
      </w:tr>
    </w:tbl>
    <w:p w14:paraId="4D6E4654">
      <w:pPr>
        <w:spacing w:line="241" w:lineRule="exact"/>
        <w:ind w:left="440" w:leftChars="200" w:right="151" w:firstLine="546" w:firstLineChars="205"/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</w:t>
      </w:r>
    </w:p>
    <w:p w14:paraId="31A1B861">
      <w:pPr>
        <w:spacing w:line="241" w:lineRule="exact"/>
        <w:ind w:left="440" w:leftChars="200" w:right="151" w:firstLine="546" w:firstLineChars="205"/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«Відправляти</w:t>
      </w:r>
      <w:r>
        <w:rPr>
          <w:rFonts w:ascii="Calibri Light" w:hAnsi="Calibri Light"/>
          <w:b/>
          <w:i/>
          <w:color w:val="366091" w:themeColor="accent1" w:themeShade="BF"/>
          <w:spacing w:val="18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людей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на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війну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ненавченими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4"/>
          <w:sz w:val="24"/>
        </w:rPr>
        <w:t xml:space="preserve">–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означає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зраджувати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їх»</w:t>
      </w:r>
    </w:p>
    <w:p w14:paraId="16A894D6">
      <w:pPr>
        <w:spacing w:line="241" w:lineRule="exact"/>
        <w:ind w:left="440" w:leftChars="200" w:right="151" w:firstLine="9124" w:firstLineChars="3800"/>
        <w:rPr>
          <w:rFonts w:ascii="Calibri Light" w:hAnsi="Calibri Light"/>
          <w:b/>
          <w:i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z w:val="24"/>
        </w:rPr>
        <w:t>Конфуцій</w:t>
      </w:r>
      <w:r>
        <w:rPr>
          <w:rFonts w:ascii="Calibri Light" w:hAnsi="Calibri Light"/>
          <w:b/>
          <w:i/>
          <w:sz w:val="24"/>
        </w:rPr>
        <w:t xml:space="preserve">   </w:t>
      </w:r>
    </w:p>
    <w:p w14:paraId="01D7C114">
      <w:pPr>
        <w:spacing w:line="241" w:lineRule="exact"/>
        <w:ind w:left="440" w:leftChars="200" w:right="151" w:firstLine="492" w:firstLineChars="205"/>
        <w:rPr>
          <w:rFonts w:ascii="Calibri Light" w:hAnsi="Calibri Light"/>
          <w:b/>
          <w:i/>
          <w:color w:val="366091" w:themeColor="accent1" w:themeShade="BF"/>
          <w:sz w:val="24"/>
          <w:szCs w:val="24"/>
        </w:rPr>
      </w:pPr>
      <w:r>
        <w:rPr>
          <w:rFonts w:ascii="Calibri Light" w:hAnsi="Calibri Light"/>
          <w:b/>
          <w:i/>
          <w:sz w:val="24"/>
          <w:szCs w:val="24"/>
        </w:rPr>
        <w:t xml:space="preserve">                                                           </w:t>
      </w:r>
    </w:p>
    <w:p w14:paraId="1251BF61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77" w:firstLine="376" w:firstLineChars="15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Вих. № </w:t>
      </w:r>
      <w:r>
        <w:rPr>
          <w:sz w:val="24"/>
          <w:szCs w:val="24"/>
          <w:lang w:val="ru-RU"/>
        </w:rPr>
        <w:t xml:space="preserve">____ </w:t>
      </w:r>
      <w:r>
        <w:rPr>
          <w:sz w:val="24"/>
          <w:szCs w:val="24"/>
        </w:rPr>
        <w:t xml:space="preserve">від </w:t>
      </w:r>
      <w:r>
        <w:rPr>
          <w:sz w:val="24"/>
          <w:szCs w:val="24"/>
          <w:lang w:val="ru-RU"/>
        </w:rPr>
        <w:t>___.___.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р.</w:t>
      </w:r>
      <w:r>
        <w:rPr>
          <w:sz w:val="24"/>
          <w:szCs w:val="24"/>
        </w:rPr>
        <w:tab/>
      </w:r>
    </w:p>
    <w:p w14:paraId="31C508AB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77" w:firstLine="491" w:firstLineChars="205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1B49A7D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77" w:firstLine="491" w:firstLineChars="205"/>
        <w:contextualSpacing/>
        <w:rPr>
          <w:sz w:val="24"/>
          <w:szCs w:val="24"/>
        </w:rPr>
      </w:pPr>
    </w:p>
    <w:p w14:paraId="71F31180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8" w:rightChars="0" w:firstLine="491" w:firstLineChars="205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Командиру військової частини _________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</w:t>
      </w:r>
    </w:p>
    <w:p w14:paraId="2D12DA9E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77" w:firstLine="491" w:firstLineChars="205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1B5FDDD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77" w:firstLine="491" w:firstLineChars="205"/>
        <w:contextualSpacing/>
        <w:rPr>
          <w:sz w:val="24"/>
          <w:szCs w:val="24"/>
        </w:rPr>
      </w:pPr>
    </w:p>
    <w:p w14:paraId="70402227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7" w:rightChars="26" w:firstLine="492" w:firstLineChars="205"/>
        <w:contextualSpacing/>
        <w:jc w:val="center"/>
        <w:rPr>
          <w:rFonts w:hint="default"/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КОМЕРЦІЙНА</w:t>
      </w:r>
      <w:r>
        <w:rPr>
          <w:rFonts w:hint="default"/>
          <w:b/>
          <w:bCs/>
          <w:sz w:val="24"/>
          <w:szCs w:val="24"/>
          <w:lang w:val="uk-UA"/>
        </w:rPr>
        <w:t xml:space="preserve"> ПРОПОЗИЦІЯ</w:t>
      </w:r>
    </w:p>
    <w:p w14:paraId="6278A8A1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440" w:leftChars="200" w:right="57" w:rightChars="26" w:firstLine="492" w:firstLineChars="205"/>
        <w:contextualSpacing/>
        <w:jc w:val="center"/>
        <w:rPr>
          <w:rFonts w:hint="default"/>
          <w:b/>
          <w:bCs/>
          <w:sz w:val="24"/>
          <w:szCs w:val="24"/>
          <w:lang w:val="uk-UA"/>
        </w:rPr>
      </w:pPr>
    </w:p>
    <w:p w14:paraId="0926C548">
      <w:pPr>
        <w:numPr>
          <w:ilvl w:val="0"/>
          <w:numId w:val="1"/>
        </w:numPr>
        <w:ind w:left="880" w:leftChars="400" w:right="57" w:rightChars="26" w:firstLine="436" w:firstLineChars="182"/>
        <w:rPr>
          <w:sz w:val="24"/>
          <w:szCs w:val="24"/>
        </w:rPr>
      </w:pPr>
      <w:r>
        <w:rPr>
          <w:sz w:val="24"/>
          <w:szCs w:val="24"/>
        </w:rPr>
        <w:t xml:space="preserve">Підприємство має можливість і в готовності здійснити постачання </w:t>
      </w:r>
      <w:r>
        <w:rPr>
          <w:b/>
          <w:bCs/>
          <w:sz w:val="24"/>
          <w:szCs w:val="24"/>
        </w:rPr>
        <w:t>Комплекту навчального вогневої підготовки КНВП «Рубін-У»/КЯ-2017 (Командирський ящик)</w:t>
      </w:r>
      <w:r>
        <w:rPr>
          <w:sz w:val="24"/>
          <w:szCs w:val="24"/>
        </w:rPr>
        <w:t xml:space="preserve">  у необхідній для  вас кількості.</w:t>
      </w:r>
    </w:p>
    <w:p w14:paraId="770F939E">
      <w:pPr>
        <w:numPr>
          <w:ilvl w:val="0"/>
          <w:numId w:val="1"/>
        </w:numPr>
        <w:ind w:left="880" w:leftChars="400" w:right="57" w:rightChars="26" w:firstLine="436" w:firstLineChars="182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Станом на </w:t>
      </w:r>
      <w:r>
        <w:rPr>
          <w:rFonts w:hint="default"/>
          <w:sz w:val="24"/>
          <w:szCs w:val="24"/>
          <w:lang w:val="en-US"/>
        </w:rPr>
        <w:t>____</w:t>
      </w:r>
      <w:r>
        <w:rPr>
          <w:rFonts w:hint="default"/>
          <w:sz w:val="24"/>
          <w:szCs w:val="24"/>
          <w:lang w:val="uk-UA"/>
        </w:rPr>
        <w:t>.</w:t>
      </w:r>
      <w:r>
        <w:rPr>
          <w:rFonts w:hint="default"/>
          <w:sz w:val="24"/>
          <w:szCs w:val="24"/>
          <w:lang w:val="en-US"/>
        </w:rPr>
        <w:t>_____</w:t>
      </w:r>
      <w:r>
        <w:rPr>
          <w:sz w:val="24"/>
          <w:szCs w:val="24"/>
        </w:rPr>
        <w:t>.202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р., </w:t>
      </w:r>
      <w:r>
        <w:rPr>
          <w:sz w:val="24"/>
          <w:szCs w:val="24"/>
          <w:lang w:val="uk-UA"/>
        </w:rPr>
        <w:t>підприємство</w:t>
      </w:r>
      <w:r>
        <w:rPr>
          <w:rFonts w:hint="default"/>
          <w:sz w:val="24"/>
          <w:szCs w:val="24"/>
          <w:lang w:val="uk-UA"/>
        </w:rPr>
        <w:t xml:space="preserve"> пропонує</w:t>
      </w:r>
      <w:r>
        <w:rPr>
          <w:sz w:val="24"/>
          <w:szCs w:val="24"/>
        </w:rPr>
        <w:t xml:space="preserve"> комплект</w:t>
      </w:r>
      <w:r>
        <w:rPr>
          <w:sz w:val="24"/>
          <w:szCs w:val="24"/>
          <w:lang w:val="uk-UA"/>
        </w:rPr>
        <w:t>и</w:t>
      </w:r>
      <w:r>
        <w:rPr>
          <w:rFonts w:hint="default"/>
          <w:sz w:val="24"/>
          <w:szCs w:val="24"/>
          <w:lang w:val="uk-UA"/>
        </w:rPr>
        <w:t xml:space="preserve"> у наступних версіях</w:t>
      </w:r>
      <w:r>
        <w:rPr>
          <w:sz w:val="24"/>
          <w:szCs w:val="24"/>
        </w:rPr>
        <w:t>:</w:t>
      </w:r>
    </w:p>
    <w:p w14:paraId="0D0CF6C9">
      <w:pPr>
        <w:ind w:left="880" w:leftChars="400" w:right="57" w:rightChars="26" w:firstLine="437" w:firstLineChars="182"/>
        <w:jc w:val="center"/>
        <w:rPr>
          <w:rFonts w:hint="default"/>
          <w:sz w:val="24"/>
          <w:szCs w:val="24"/>
          <w:lang w:val="uk-UA"/>
        </w:rPr>
      </w:pPr>
      <w:r>
        <w:rPr>
          <w:rFonts w:hint="default"/>
          <w:b/>
          <w:bCs/>
          <w:sz w:val="24"/>
          <w:szCs w:val="24"/>
          <w:lang w:val="uk-UA"/>
        </w:rPr>
        <w:t xml:space="preserve">комплектація “СТАНДАРТ </w:t>
      </w:r>
      <w:r>
        <w:rPr>
          <w:rFonts w:hint="default"/>
          <w:b/>
          <w:bCs/>
          <w:sz w:val="24"/>
          <w:szCs w:val="24"/>
          <w:lang w:val="en-US"/>
        </w:rPr>
        <w:t>PRO</w:t>
      </w:r>
      <w:r>
        <w:rPr>
          <w:rFonts w:hint="default"/>
          <w:b/>
          <w:bCs/>
          <w:sz w:val="24"/>
          <w:szCs w:val="24"/>
          <w:lang w:val="uk-UA"/>
        </w:rPr>
        <w:t>” (професіонал)</w:t>
      </w:r>
      <w:r>
        <w:rPr>
          <w:rFonts w:hint="default"/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</w:rPr>
        <w:t>2024</w:t>
      </w:r>
      <w:r>
        <w:rPr>
          <w:rFonts w:hint="default"/>
          <w:b/>
          <w:bCs/>
          <w:sz w:val="24"/>
          <w:szCs w:val="24"/>
          <w:lang w:val="uk-UA"/>
        </w:rPr>
        <w:t xml:space="preserve"> р</w:t>
      </w:r>
      <w:bookmarkStart w:id="14" w:name="_GoBack"/>
      <w:bookmarkEnd w:id="14"/>
      <w:r>
        <w:rPr>
          <w:rFonts w:hint="default"/>
          <w:b/>
          <w:bCs/>
          <w:sz w:val="24"/>
          <w:szCs w:val="24"/>
          <w:lang w:val="en-US"/>
        </w:rPr>
        <w:t xml:space="preserve"> </w:t>
      </w:r>
      <w:r>
        <w:rPr>
          <w:rFonts w:hint="default"/>
          <w:b/>
          <w:bCs/>
          <w:sz w:val="24"/>
          <w:szCs w:val="24"/>
          <w:lang w:val="uk-UA"/>
        </w:rPr>
        <w:t xml:space="preserve">. </w:t>
      </w:r>
      <w:r>
        <w:rPr>
          <w:sz w:val="24"/>
          <w:szCs w:val="24"/>
        </w:rPr>
        <w:t xml:space="preserve"> </w:t>
      </w:r>
      <w:bookmarkStart w:id="1" w:name="_Hlk176018291"/>
      <w:r>
        <w:rPr>
          <w:sz w:val="24"/>
          <w:szCs w:val="24"/>
        </w:rPr>
        <w:t>(</w:t>
      </w:r>
      <w:r>
        <w:rPr>
          <w:rFonts w:hint="default"/>
          <w:sz w:val="24"/>
          <w:szCs w:val="24"/>
          <w:lang w:val="uk-UA"/>
        </w:rPr>
        <w:t>37</w:t>
      </w:r>
      <w:r>
        <w:rPr>
          <w:sz w:val="24"/>
          <w:szCs w:val="24"/>
        </w:rPr>
        <w:t xml:space="preserve"> складових</w:t>
      </w:r>
      <w:bookmarkEnd w:id="1"/>
      <w:r>
        <w:rPr>
          <w:sz w:val="24"/>
          <w:szCs w:val="24"/>
        </w:rPr>
        <w:t>)</w:t>
      </w:r>
      <w:r>
        <w:rPr>
          <w:rFonts w:hint="default"/>
          <w:sz w:val="24"/>
          <w:szCs w:val="24"/>
          <w:lang w:val="uk-UA"/>
        </w:rPr>
        <w:t>.</w:t>
      </w:r>
    </w:p>
    <w:p w14:paraId="69AF2449">
      <w:pPr>
        <w:ind w:left="880" w:leftChars="400" w:right="57" w:rightChars="26" w:firstLine="436" w:firstLineChars="182"/>
        <w:jc w:val="center"/>
        <w:rPr>
          <w:rFonts w:hint="default"/>
          <w:sz w:val="24"/>
          <w:szCs w:val="24"/>
          <w:lang w:val="uk-UA"/>
        </w:rPr>
      </w:pPr>
    </w:p>
    <w:p w14:paraId="6FB1A986">
      <w:pPr>
        <w:numPr>
          <w:ilvl w:val="0"/>
          <w:numId w:val="2"/>
        </w:numPr>
        <w:ind w:left="880" w:leftChars="400" w:right="57" w:rightChars="26" w:firstLine="436" w:firstLineChars="182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Постачання здійснюється до будь-якого місця на території України за рахунок постачальника.</w:t>
      </w:r>
    </w:p>
    <w:p w14:paraId="28064A30">
      <w:pPr>
        <w:numPr>
          <w:ilvl w:val="0"/>
          <w:numId w:val="2"/>
        </w:numPr>
        <w:ind w:left="880" w:leftChars="400" w:right="57" w:rightChars="26" w:firstLine="439" w:firstLineChars="183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До складу комплекту входить обладнання згідно зі Специфікацією, а також супровідна, та дозвільно-методична документація</w:t>
      </w:r>
      <w:r>
        <w:rPr>
          <w:rFonts w:hint="default"/>
          <w:sz w:val="24"/>
          <w:szCs w:val="24"/>
          <w:lang w:val="uk-UA"/>
        </w:rPr>
        <w:t>:</w:t>
      </w:r>
    </w:p>
    <w:p w14:paraId="12CC81F0">
      <w:pPr>
        <w:numPr>
          <w:ilvl w:val="0"/>
          <w:numId w:val="0"/>
        </w:numPr>
        <w:ind w:left="880" w:leftChars="400" w:right="57" w:rightChars="26" w:firstLine="439" w:firstLineChars="183"/>
        <w:rPr>
          <w:rFonts w:hint="default"/>
          <w:sz w:val="24"/>
          <w:szCs w:val="24"/>
          <w:lang w:val="uk-UA"/>
        </w:rPr>
      </w:pPr>
    </w:p>
    <w:p w14:paraId="7EF0456C">
      <w:pPr>
        <w:numPr>
          <w:ilvl w:val="0"/>
          <w:numId w:val="0"/>
        </w:numPr>
        <w:ind w:left="880" w:leftChars="400" w:right="57" w:rightChars="26" w:firstLine="439" w:firstLineChars="183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Патент на корисну модель № 152027 від 19.10.2022р.;</w:t>
      </w:r>
    </w:p>
    <w:p w14:paraId="7384B654">
      <w:pPr>
        <w:numPr>
          <w:ilvl w:val="0"/>
          <w:numId w:val="0"/>
        </w:numPr>
        <w:ind w:left="880" w:leftChars="400" w:right="57" w:rightChars="26" w:firstLine="439" w:firstLineChars="183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>-</w:t>
      </w:r>
      <w:r>
        <w:rPr>
          <w:sz w:val="24"/>
          <w:szCs w:val="24"/>
        </w:rPr>
        <w:t xml:space="preserve"> Паспорт – формуляр та методичний посібник по користуванню; </w:t>
      </w:r>
    </w:p>
    <w:p w14:paraId="13CC7DE3">
      <w:pPr>
        <w:numPr>
          <w:ilvl w:val="0"/>
          <w:numId w:val="0"/>
        </w:numPr>
        <w:ind w:left="880" w:leftChars="400" w:right="57" w:rightChars="26" w:firstLine="439" w:firstLineChars="183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Технічні умови ТУ У 32.5-37778172-001:2017;</w:t>
      </w:r>
    </w:p>
    <w:p w14:paraId="0E76364E">
      <w:pPr>
        <w:numPr>
          <w:ilvl w:val="0"/>
          <w:numId w:val="0"/>
        </w:numPr>
        <w:ind w:left="880" w:leftChars="400" w:right="57" w:rightChars="26" w:firstLine="439" w:firstLineChars="183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>-</w:t>
      </w:r>
      <w:r>
        <w:rPr>
          <w:sz w:val="24"/>
          <w:szCs w:val="24"/>
        </w:rPr>
        <w:t xml:space="preserve"> Свідоцтво про ідентифікацію виробника (постачальника) продукції для Збройних</w:t>
      </w:r>
    </w:p>
    <w:p w14:paraId="0EDBDC75">
      <w:pPr>
        <w:numPr>
          <w:ilvl w:val="0"/>
          <w:numId w:val="0"/>
        </w:numPr>
        <w:ind w:left="880" w:leftChars="400" w:right="57" w:rightChars="26" w:firstLine="439" w:firstLineChars="183"/>
        <w:rPr>
          <w:sz w:val="24"/>
          <w:szCs w:val="24"/>
        </w:rPr>
      </w:pPr>
      <w:r>
        <w:rPr>
          <w:sz w:val="24"/>
          <w:szCs w:val="24"/>
        </w:rPr>
        <w:t xml:space="preserve">Сил України № 433 від 29.05.2017; </w:t>
      </w:r>
    </w:p>
    <w:p w14:paraId="15DAE968">
      <w:pPr>
        <w:numPr>
          <w:ilvl w:val="0"/>
          <w:numId w:val="0"/>
        </w:numPr>
        <w:ind w:left="880" w:leftChars="400" w:right="57" w:rightChars="26" w:firstLine="439" w:firstLineChars="183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 xml:space="preserve">Посвідчення Державної служби експертного контролю України від 04.01.2022; </w:t>
      </w:r>
    </w:p>
    <w:p w14:paraId="06E29D63">
      <w:pPr>
        <w:numPr>
          <w:ilvl w:val="0"/>
          <w:numId w:val="0"/>
        </w:numPr>
        <w:ind w:left="880" w:leftChars="400" w:right="57" w:rightChars="26" w:firstLine="439" w:firstLineChars="183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Висновок Державної санітарно – епідеміологічної експертизи від 29.05.2017</w:t>
      </w:r>
      <w:r>
        <w:rPr>
          <w:rFonts w:hint="default"/>
          <w:sz w:val="24"/>
          <w:szCs w:val="24"/>
          <w:lang w:val="uk-UA"/>
        </w:rPr>
        <w:t>;</w:t>
      </w:r>
    </w:p>
    <w:p w14:paraId="6BAFAF54">
      <w:pPr>
        <w:numPr>
          <w:ilvl w:val="0"/>
          <w:numId w:val="0"/>
        </w:numPr>
        <w:ind w:left="880" w:leftChars="400" w:right="57" w:rightChars="26" w:firstLine="439" w:firstLineChars="183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  <w:lang w:val="uk-UA"/>
        </w:rPr>
        <w:t>Сертифікат</w:t>
      </w:r>
      <w:r>
        <w:rPr>
          <w:rFonts w:hint="default"/>
          <w:sz w:val="24"/>
          <w:szCs w:val="24"/>
          <w:lang w:val="uk-UA"/>
        </w:rPr>
        <w:t xml:space="preserve"> відповідності №</w:t>
      </w:r>
      <w:r>
        <w:rPr>
          <w:rFonts w:hint="default"/>
          <w:sz w:val="24"/>
          <w:szCs w:val="24"/>
          <w:lang w:val="en-US"/>
        </w:rPr>
        <w:t>UA/PN/191/3936-24</w:t>
      </w:r>
      <w:r>
        <w:rPr>
          <w:rFonts w:hint="default"/>
          <w:sz w:val="24"/>
          <w:szCs w:val="24"/>
          <w:lang w:val="uk-UA"/>
        </w:rPr>
        <w:t xml:space="preserve"> від 16.12.2024 року;</w:t>
      </w:r>
    </w:p>
    <w:p w14:paraId="2540D560">
      <w:pPr>
        <w:numPr>
          <w:ilvl w:val="0"/>
          <w:numId w:val="0"/>
        </w:numPr>
        <w:ind w:left="880" w:leftChars="400" w:right="57" w:rightChars="26" w:firstLine="439" w:firstLineChars="183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uk-UA"/>
        </w:rPr>
        <w:t xml:space="preserve">- </w:t>
      </w:r>
      <w:r>
        <w:rPr>
          <w:sz w:val="24"/>
          <w:szCs w:val="24"/>
        </w:rPr>
        <w:t>Рахунок-фактура, видаткова накладна</w:t>
      </w:r>
      <w:r>
        <w:rPr>
          <w:rFonts w:hint="default"/>
          <w:sz w:val="24"/>
          <w:szCs w:val="24"/>
          <w:lang w:val="uk-UA"/>
        </w:rPr>
        <w:t>.</w:t>
      </w:r>
      <w:r>
        <w:rPr>
          <w:sz w:val="24"/>
          <w:szCs w:val="24"/>
        </w:rPr>
        <w:t xml:space="preserve"> </w:t>
      </w:r>
    </w:p>
    <w:p w14:paraId="3D4A15FB">
      <w:pPr>
        <w:numPr>
          <w:ilvl w:val="0"/>
          <w:numId w:val="0"/>
        </w:numPr>
        <w:ind w:left="880" w:leftChars="400" w:right="57" w:rightChars="26" w:firstLine="439" w:firstLineChars="183"/>
        <w:rPr>
          <w:rFonts w:hint="default"/>
          <w:sz w:val="24"/>
          <w:szCs w:val="24"/>
          <w:lang w:val="uk-UA"/>
        </w:rPr>
      </w:pPr>
    </w:p>
    <w:p w14:paraId="6A57F82B">
      <w:pPr>
        <w:ind w:left="880" w:leftChars="400" w:right="57" w:rightChars="26" w:firstLine="439" w:firstLineChars="183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Форма оплати –  безготівкова, на умовах, викладених у Договорі.</w:t>
      </w:r>
    </w:p>
    <w:p w14:paraId="5CA641E0">
      <w:pPr>
        <w:ind w:left="880" w:leftChars="400" w:right="57" w:rightChars="26" w:firstLine="436" w:firstLineChars="182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Гарантійний термін експлуатації 18 місяців.</w:t>
      </w:r>
    </w:p>
    <w:p w14:paraId="713A1985">
      <w:pPr>
        <w:ind w:left="880" w:leftChars="400" w:right="57" w:rightChars="26" w:firstLine="436" w:firstLineChars="182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Постачальником товару також може бути торговий представник – Фізична особа-підприємець.</w:t>
      </w:r>
    </w:p>
    <w:p w14:paraId="529496CD">
      <w:pPr>
        <w:ind w:left="880" w:leftChars="400" w:right="151" w:firstLine="436" w:firstLineChars="182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8.</w:t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До вартості включається доставка товару до замовника та проведення інструкторсько-методичних занять по порядку використання комплекту.</w:t>
      </w:r>
    </w:p>
    <w:p w14:paraId="461AB0A0">
      <w:pPr>
        <w:ind w:left="440" w:leftChars="200" w:right="151" w:firstLine="492" w:firstLineChars="205"/>
        <w:jc w:val="center"/>
        <w:rPr>
          <w:b/>
          <w:bCs/>
          <w:sz w:val="24"/>
          <w:szCs w:val="24"/>
        </w:rPr>
      </w:pPr>
    </w:p>
    <w:p w14:paraId="584626D2">
      <w:pPr>
        <w:ind w:left="440" w:leftChars="200" w:right="151" w:firstLine="492" w:firstLineChars="205"/>
        <w:jc w:val="center"/>
        <w:rPr>
          <w:b/>
          <w:bCs/>
          <w:sz w:val="24"/>
          <w:szCs w:val="24"/>
        </w:rPr>
      </w:pPr>
    </w:p>
    <w:p w14:paraId="1F34DA08">
      <w:pPr>
        <w:ind w:right="151"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СКЛАД</w:t>
      </w:r>
    </w:p>
    <w:p w14:paraId="11CA4AE2">
      <w:pPr>
        <w:ind w:right="151" w:firstLine="708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та технічні характеристики</w:t>
      </w:r>
    </w:p>
    <w:p w14:paraId="18A774DB">
      <w:pPr>
        <w:ind w:right="151"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Комплекту навчального вогневої підготовки КНВП «Рубін-У»/КЯ-2017/2024</w:t>
      </w:r>
      <w:r>
        <w:rPr>
          <w:rFonts w:hint="default"/>
          <w:b/>
          <w:bCs/>
          <w:sz w:val="24"/>
          <w:szCs w:val="24"/>
          <w:lang w:val="uk-UA"/>
        </w:rPr>
        <w:t xml:space="preserve"> комплектація “СТАНДАРТ </w:t>
      </w:r>
      <w:r>
        <w:rPr>
          <w:rFonts w:hint="default"/>
          <w:b/>
          <w:bCs/>
          <w:sz w:val="24"/>
          <w:szCs w:val="24"/>
          <w:lang w:val="en-US"/>
        </w:rPr>
        <w:t>PRO</w:t>
      </w:r>
      <w:r>
        <w:rPr>
          <w:rFonts w:hint="default"/>
          <w:b/>
          <w:bCs/>
          <w:sz w:val="24"/>
          <w:szCs w:val="24"/>
          <w:lang w:val="uk-UA"/>
        </w:rPr>
        <w:t>” (професіонал)</w:t>
      </w:r>
      <w:r>
        <w:rPr>
          <w:b/>
          <w:bCs/>
          <w:sz w:val="24"/>
          <w:szCs w:val="24"/>
        </w:rPr>
        <w:t>:</w:t>
      </w:r>
    </w:p>
    <w:p w14:paraId="422A47D7">
      <w:pPr>
        <w:ind w:right="151" w:firstLine="708"/>
        <w:jc w:val="center"/>
        <w:rPr>
          <w:b/>
          <w:bCs/>
          <w:sz w:val="24"/>
          <w:szCs w:val="24"/>
        </w:rPr>
      </w:pPr>
    </w:p>
    <w:tbl>
      <w:tblPr>
        <w:tblStyle w:val="8"/>
        <w:tblW w:w="10939" w:type="dxa"/>
        <w:tblInd w:w="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476"/>
        <w:gridCol w:w="3684"/>
        <w:gridCol w:w="699"/>
        <w:gridCol w:w="981"/>
        <w:gridCol w:w="3487"/>
      </w:tblGrid>
      <w:tr w14:paraId="086F7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2" w:type="dxa"/>
            <w:tcBorders>
              <w:top w:val="thinThickSmallGap" w:color="auto" w:sz="12" w:space="0"/>
              <w:left w:val="thinThickSmallGap" w:color="auto" w:sz="12" w:space="0"/>
            </w:tcBorders>
          </w:tcPr>
          <w:p w14:paraId="6B3AA43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  <w:p w14:paraId="43BB983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№</w:t>
            </w:r>
          </w:p>
        </w:tc>
        <w:tc>
          <w:tcPr>
            <w:tcW w:w="1476" w:type="dxa"/>
            <w:tcBorders>
              <w:top w:val="thinThickSmallGap" w:color="auto" w:sz="12" w:space="0"/>
            </w:tcBorders>
          </w:tcPr>
          <w:p w14:paraId="0ECB711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  <w:p w14:paraId="2DBE438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Назва</w:t>
            </w:r>
          </w:p>
        </w:tc>
        <w:tc>
          <w:tcPr>
            <w:tcW w:w="3684" w:type="dxa"/>
            <w:tcBorders>
              <w:top w:val="thinThickSmallGap" w:color="auto" w:sz="12" w:space="0"/>
            </w:tcBorders>
          </w:tcPr>
          <w:p w14:paraId="7731EA3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  <w:p w14:paraId="50F2F4B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Характеристики</w:t>
            </w:r>
          </w:p>
        </w:tc>
        <w:tc>
          <w:tcPr>
            <w:tcW w:w="5167" w:type="dxa"/>
            <w:gridSpan w:val="3"/>
            <w:tcBorders>
              <w:top w:val="thinThickSmallGap" w:color="auto" w:sz="12" w:space="0"/>
              <w:right w:val="thickThinSmallGap" w:color="auto" w:sz="12" w:space="0"/>
            </w:tcBorders>
          </w:tcPr>
          <w:p w14:paraId="169FB85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>Комплект навчальн</w:t>
            </w:r>
            <w:r>
              <w:rPr>
                <w:b/>
                <w:bCs/>
                <w:sz w:val="24"/>
                <w:szCs w:val="24"/>
                <w:lang w:val="uk-UA"/>
              </w:rPr>
              <w:t>ий</w:t>
            </w:r>
            <w:r>
              <w:rPr>
                <w:b/>
                <w:bCs/>
                <w:sz w:val="24"/>
                <w:szCs w:val="24"/>
              </w:rPr>
              <w:t xml:space="preserve"> вогневої підготовки КНВП «Рубін-У»/КЯ-2017/2024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 комплектація “СТАНДАРТ </w:t>
            </w:r>
            <w:r>
              <w:rPr>
                <w:rFonts w:hint="default"/>
                <w:b/>
                <w:bCs/>
                <w:sz w:val="24"/>
                <w:szCs w:val="24"/>
                <w:lang w:val="en-US"/>
              </w:rPr>
              <w:t>PRO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” (професіонал)</w:t>
            </w:r>
          </w:p>
        </w:tc>
      </w:tr>
      <w:tr w14:paraId="0700F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12" w:type="dxa"/>
            <w:tcBorders>
              <w:left w:val="thinThickSmallGap" w:color="auto" w:sz="12" w:space="0"/>
              <w:bottom w:val="single" w:color="auto" w:sz="4" w:space="0"/>
              <w:right w:val="single" w:color="auto" w:sz="4" w:space="0"/>
            </w:tcBorders>
          </w:tcPr>
          <w:p w14:paraId="2058C60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1</w:t>
            </w:r>
          </w:p>
        </w:tc>
        <w:tc>
          <w:tcPr>
            <w:tcW w:w="5160" w:type="dxa"/>
            <w:gridSpan w:val="2"/>
            <w:tcBorders>
              <w:left w:val="single" w:color="auto" w:sz="4" w:space="0"/>
            </w:tcBorders>
          </w:tcPr>
          <w:p w14:paraId="08B26F7D">
            <w:pPr>
              <w:snapToGrid w:val="0"/>
              <w:ind w:right="151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Комплект навчальн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ий</w:t>
            </w:r>
            <w:r>
              <w:rPr>
                <w:b/>
                <w:bCs/>
                <w:sz w:val="24"/>
                <w:szCs w:val="24"/>
              </w:rPr>
              <w:t xml:space="preserve"> вогневої підготовки КНВП «Рубін-У»/КЯ-2017/2024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 комплектація “СТАНДАРТ </w:t>
            </w:r>
            <w:r>
              <w:rPr>
                <w:rFonts w:hint="default"/>
                <w:b/>
                <w:bCs/>
                <w:sz w:val="24"/>
                <w:szCs w:val="24"/>
                <w:lang w:val="en-US"/>
              </w:rPr>
              <w:t>PRO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” (професіонал)</w:t>
            </w:r>
            <w:r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99" w:type="dxa"/>
          </w:tcPr>
          <w:p w14:paraId="10C8FDB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Од.</w:t>
            </w:r>
          </w:p>
          <w:p w14:paraId="266D94CE">
            <w:pPr>
              <w:snapToGrid w:val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виміру</w:t>
            </w:r>
          </w:p>
        </w:tc>
        <w:tc>
          <w:tcPr>
            <w:tcW w:w="981" w:type="dxa"/>
            <w:tcBorders>
              <w:right w:val="single" w:color="auto" w:sz="4" w:space="0"/>
            </w:tcBorders>
          </w:tcPr>
          <w:p w14:paraId="4CC45E40">
            <w:pPr>
              <w:snapToGrid w:val="0"/>
              <w:ind w:right="151"/>
              <w:contextualSpacing/>
              <w:jc w:val="both"/>
              <w:rPr>
                <w:rFonts w:eastAsia="Calibri"/>
                <w:b/>
                <w:sz w:val="18"/>
                <w:szCs w:val="18"/>
                <w:lang w:eastAsia="ru-RU"/>
              </w:rPr>
            </w:pPr>
          </w:p>
          <w:p w14:paraId="3F69753E">
            <w:pPr>
              <w:snapToGrid w:val="0"/>
              <w:ind w:right="-129" w:rightChars="0" w:firstLine="90" w:firstLineChars="50"/>
              <w:contextualSpacing/>
              <w:jc w:val="both"/>
              <w:rPr>
                <w:rFonts w:hint="default" w:eastAsia="Calibri"/>
                <w:b/>
                <w:lang w:val="uk-UA" w:eastAsia="ru-RU"/>
              </w:rPr>
            </w:pPr>
            <w:r>
              <w:rPr>
                <w:rFonts w:eastAsia="Calibri"/>
                <w:b/>
                <w:sz w:val="18"/>
                <w:szCs w:val="18"/>
                <w:lang w:eastAsia="ru-RU"/>
              </w:rPr>
              <w:t>К</w:t>
            </w:r>
            <w:r>
              <w:rPr>
                <w:rFonts w:eastAsia="Calibri"/>
                <w:b/>
                <w:sz w:val="18"/>
                <w:szCs w:val="18"/>
                <w:lang w:val="uk-UA" w:eastAsia="ru-RU"/>
              </w:rPr>
              <w:t>ількіс</w:t>
            </w:r>
            <w:r>
              <w:rPr>
                <w:rFonts w:eastAsia="Calibri"/>
                <w:b/>
                <w:sz w:val="18"/>
                <w:szCs w:val="18"/>
                <w:lang w:eastAsia="ru-RU"/>
              </w:rPr>
              <w:t>т</w:t>
            </w:r>
            <w:r>
              <w:rPr>
                <w:rFonts w:eastAsia="Calibri"/>
                <w:b/>
                <w:sz w:val="18"/>
                <w:szCs w:val="18"/>
                <w:lang w:val="uk-UA" w:eastAsia="ru-RU"/>
              </w:rPr>
              <w:t>ь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636FB4A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 xml:space="preserve"> Довжина – 500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мм, ширина – 220 мм, висота – 250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мм, маса тари – 3.5 кг, вага комплекту – 15.2 кг</w:t>
            </w:r>
          </w:p>
        </w:tc>
      </w:tr>
      <w:tr w14:paraId="302BD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612" w:type="dxa"/>
            <w:tcBorders>
              <w:left w:val="thinThickSmallGap" w:color="auto" w:sz="12" w:space="0"/>
              <w:right w:val="single" w:color="auto" w:sz="4" w:space="0"/>
            </w:tcBorders>
            <w:shd w:val="clear" w:color="auto" w:fill="FFFFFF"/>
          </w:tcPr>
          <w:p w14:paraId="4B69B6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0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191D64D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Комплект навчальних стрілецьких приладів та пристосувань, для забезпечення ефективного навчання прийомам і правилам стрільби із стрілецької зброї, протитанкових гранатометів у денний і нічний час, у навчальних класах, стрільбищах, вогневих містечках та ін., як без витрати боєприпасів, так і при бойовій стрільбі.</w:t>
            </w:r>
          </w:p>
          <w:p w14:paraId="42D71E71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  Діапазон робочих температур: -30С +50С; відносна вологість повітря при температурі 20С 95%</w:t>
            </w:r>
          </w:p>
          <w:p w14:paraId="51B7A00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69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A01654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3D04A0F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50D2739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C840C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981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0D14B8A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B149482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7B4C74C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CF759E6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0FC8C1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  <w:shd w:val="clear" w:color="auto" w:fill="FFFFFF"/>
          </w:tcPr>
          <w:p w14:paraId="7D29303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drawing>
                <wp:inline distT="0" distB="0" distL="0" distR="0">
                  <wp:extent cx="2205990" cy="1542415"/>
                  <wp:effectExtent l="0" t="0" r="3810" b="12065"/>
                  <wp:docPr id="10997216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2161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87D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6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1BFBD6D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" w:name="_Hlk178590640"/>
          </w:p>
          <w:p w14:paraId="276CCFE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1471227F">
            <w:pPr>
              <w:snapToGrid w:val="0"/>
              <w:ind w:right="-86" w:rightChars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ОРТОСКОП  ОПТИЧНИЙ стрілецький,  універсальний </w:t>
            </w:r>
          </w:p>
          <w:p w14:paraId="5345177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(для оптичних прицілів)</w:t>
            </w:r>
          </w:p>
          <w:p w14:paraId="1CA2D67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0AC569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4FD7F8E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3" w:name="_Hlk179974218"/>
            <w:r>
              <w:rPr>
                <w:rFonts w:eastAsia="Calibri"/>
                <w:bCs/>
                <w:sz w:val="20"/>
                <w:szCs w:val="20"/>
                <w:lang w:eastAsia="ru-RU"/>
              </w:rPr>
              <w:t>Оптичний прилад. Призначений для тренування військових спеціалістів у набутті навичок ведення прицільного вогню зі всіх видів озброєння, яке обладнано оптичними прицілами (автоматична зброя, снайперські гвинтівки, різні типи гранатометів, протитанкових засобів та інше).</w:t>
            </w:r>
            <w: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Для перевірки правильності прицілювання та роботи над помилками з використанням особливостей конструкції оптичних прицілів зброї ( в тому числі зброї зразків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ТО)</w:t>
            </w:r>
            <w:bookmarkEnd w:id="3"/>
          </w:p>
          <w:p w14:paraId="02956BB1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комплекті передбачено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</w:p>
          <w:p w14:paraId="411A1F62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перехідний кронштейн кріплення для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гвинтівочних прицілів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, та 8 втулок ущільнювачів кріплення на окуляр прицілу гвинтівочного, під розміри окуляра прицілу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мм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39,0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40,9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42,7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;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44,65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45,0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46,0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</w:p>
          <w:p w14:paraId="237E5B37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перехідний кронштейн кріплення для г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ранатометних прицілів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із затискачем та 2 втулки ущільнювачів кріплення на окуляр прицілу гранатометного, під розміри окуляра прицілу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мм.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31,7;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35,0</w:t>
            </w:r>
          </w:p>
        </w:tc>
        <w:tc>
          <w:tcPr>
            <w:tcW w:w="1680" w:type="dxa"/>
            <w:gridSpan w:val="2"/>
            <w:tcBorders>
              <w:right w:val="single" w:color="auto" w:sz="4" w:space="0"/>
            </w:tcBorders>
          </w:tcPr>
          <w:p w14:paraId="474227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FE2CC0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7BE105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За окремим замовленням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.</w:t>
            </w:r>
          </w:p>
          <w:p w14:paraId="6011C960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</w:p>
          <w:p w14:paraId="2C0FD74D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</w:p>
          <w:p w14:paraId="2433EF7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uk-UA" w:eastAsia="ru-RU"/>
              </w:rPr>
              <w:t>У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вартість не входить.</w:t>
            </w:r>
          </w:p>
          <w:p w14:paraId="429F195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BB8E07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196465" cy="1845310"/>
                  <wp:effectExtent l="0" t="0" r="13335" b="13970"/>
                  <wp:docPr id="14" name="Изображение 14" descr="photo_2025-02-09_17-27-37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photo_2025-02-09_17-27-37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193925" cy="1960880"/>
                  <wp:effectExtent l="0" t="0" r="635" b="5080"/>
                  <wp:docPr id="6" name="Изображение 6" descr="photo_2025-02-17_17-24-55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photo_2025-02-17_17-24-55 (4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14:paraId="460C1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3CE6514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AC9A80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40D39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3020BD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708C211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Призма бокова 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універсальна)</w:t>
            </w:r>
          </w:p>
          <w:p w14:paraId="4ADEA3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ПБ-БС-У 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NATO</w:t>
            </w:r>
          </w:p>
          <w:p w14:paraId="5A3578F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506DA72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перевірки правильності прицілювання та роботи над помилками з використанням особливостей конструкції зброї зразків НАТО, як з використанням екрану і магнітної указки так і на дійсні відстані. Технічно забезпечує можливість роботи інструктора як з правого так і з лівого боку від зброї того, хто навчається (наявність поворотного механізму). Регулюється по висоті для забезпечення роботи з різними типами механічних прицільних пристосувань зброї зразків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NATO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699" w:type="dxa"/>
            <w:vAlign w:val="center"/>
          </w:tcPr>
          <w:p w14:paraId="22AD39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6A95ED3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1E3AA6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209165" cy="2235835"/>
                  <wp:effectExtent l="0" t="0" r="635" b="4445"/>
                  <wp:docPr id="12" name="Изображение 12" descr="зображення_viber_2024-09-24_19-47-36-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зображення_viber_2024-09-24_19-47-36-2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C7F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59734A7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36FCEE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Скло бокове СБ-У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056AF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(універсальне)</w:t>
            </w: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38A88BA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Призначене для перевірки правильності прицілювання на відстані.</w:t>
            </w:r>
          </w:p>
        </w:tc>
        <w:tc>
          <w:tcPr>
            <w:tcW w:w="699" w:type="dxa"/>
            <w:vAlign w:val="center"/>
          </w:tcPr>
          <w:p w14:paraId="3502CDC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479E118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00C9D39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0435" cy="1283970"/>
                  <wp:effectExtent l="0" t="0" r="14605" b="11430"/>
                  <wp:docPr id="5743699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36994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BC8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670E8EA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482EA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1D753C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Скло бокове СБ-БС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</w:t>
            </w:r>
          </w:p>
          <w:p w14:paraId="358F24D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(для бойової стрільби)</w:t>
            </w:r>
          </w:p>
          <w:p w14:paraId="4F85D1FB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5BD55DA7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Призначене для перевірки та контролю правильності</w:t>
            </w:r>
          </w:p>
          <w:p w14:paraId="2376B6D9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прицілювання на відстані при бойовій стрільбі. Забезпечує надійне кріплення на вогнепальній зброї.</w:t>
            </w:r>
          </w:p>
        </w:tc>
        <w:tc>
          <w:tcPr>
            <w:tcW w:w="699" w:type="dxa"/>
            <w:vAlign w:val="center"/>
          </w:tcPr>
          <w:p w14:paraId="78183E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21DF3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  <w:p w14:paraId="0F7DBFA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662E9F7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2B7A0FC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8845" cy="1231265"/>
                  <wp:effectExtent l="0" t="0" r="5715" b="3175"/>
                  <wp:docPr id="3605072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507237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FD5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4F6AFB9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429A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54303D7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Лазерний</w:t>
            </w:r>
          </w:p>
          <w:p w14:paraId="59B2A5B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пристрілочний пристрій (ЛПП)</w:t>
            </w:r>
          </w:p>
          <w:p w14:paraId="358C531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635D867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15FCFBB2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узгодження лінії прицілювання прицілів з віссю каналу ствола зброї, а також – оперативного контролю положення лінії прицілювання прицілів по сітці вивірочної мішені. Допоміжна функція лазерної вказівки.</w:t>
            </w:r>
          </w:p>
        </w:tc>
        <w:tc>
          <w:tcPr>
            <w:tcW w:w="699" w:type="dxa"/>
            <w:vAlign w:val="center"/>
          </w:tcPr>
          <w:p w14:paraId="40BA5A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4823888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6209C5F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0590" cy="1162050"/>
                  <wp:effectExtent l="0" t="0" r="13970" b="11430"/>
                  <wp:docPr id="5859301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30141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DE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31C2CEC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4" w:name="_Hlk178590480"/>
          </w:p>
          <w:p w14:paraId="198260E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39CC973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78D2319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Заcіб оптимізації ЛПП</w:t>
            </w:r>
          </w:p>
          <w:p w14:paraId="32C60796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721DDE21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забезпечення безперешкодного ведення хвостовика ЛПП у канал ствола</w:t>
            </w:r>
          </w:p>
        </w:tc>
        <w:tc>
          <w:tcPr>
            <w:tcW w:w="699" w:type="dxa"/>
            <w:vAlign w:val="center"/>
          </w:tcPr>
          <w:p w14:paraId="622F09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418CBCD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4246FE7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03450" cy="918210"/>
                  <wp:effectExtent l="0" t="0" r="6350" b="11430"/>
                  <wp:docPr id="6693128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1281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14:paraId="094A1C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1C4148C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5" w:name="_Hlk178590544"/>
          </w:p>
          <w:p w14:paraId="0F9257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C2D2B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6BED7C1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sz w:val="20"/>
                <w:szCs w:val="20"/>
                <w:lang w:val="ru-RU" w:eastAsia="ru-RU"/>
              </w:rPr>
              <w:t>Засіб юстирування ЛПП</w:t>
            </w:r>
          </w:p>
          <w:p w14:paraId="10BF8350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1E1D43A5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При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значений для введення корекції (налаштування) в роботу лазерного пристрілочного пристрою.</w:t>
            </w:r>
          </w:p>
        </w:tc>
        <w:tc>
          <w:tcPr>
            <w:tcW w:w="699" w:type="dxa"/>
            <w:vAlign w:val="center"/>
          </w:tcPr>
          <w:p w14:paraId="444B17E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0FE126C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3406F0A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26310" cy="869950"/>
                  <wp:effectExtent l="0" t="0" r="13970" b="13970"/>
                  <wp:docPr id="3564128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1284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14:paraId="7F556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7B3B81B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34EC84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Світловідзеркалювальна мішень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,</w:t>
            </w:r>
          </w:p>
          <w:p w14:paraId="70ACAA6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учбова,</w:t>
            </w:r>
          </w:p>
          <w:p w14:paraId="2B126BF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пристрілочна</w:t>
            </w:r>
          </w:p>
          <w:p w14:paraId="7CC5ADD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6AADE4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241E4D9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роботи у складі з Лазерним пристрілочним пристроєм для приведення вогнепальної зброї до нормального бою, згідно правил експлуатації ЛПП;</w:t>
            </w:r>
          </w:p>
          <w:p w14:paraId="3993871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Додатково для відпрацювання навичок стрільби з використанням лазерних тренажерів з видимим променем у складі Інтерактивного мультимедійного лазерного тиру (ІМЛТ)</w:t>
            </w: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.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99" w:type="dxa"/>
            <w:vAlign w:val="center"/>
          </w:tcPr>
          <w:p w14:paraId="0846799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12B25CA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7A43350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856865" cy="2879725"/>
                  <wp:effectExtent l="0" t="0" r="635" b="8255"/>
                  <wp:docPr id="7705798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79883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5686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DF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0992C18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1476" w:type="dxa"/>
            <w:tcBorders>
              <w:right w:val="single" w:color="auto" w:sz="4" w:space="0"/>
            </w:tcBorders>
          </w:tcPr>
          <w:p w14:paraId="5E16873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214D636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Мушка </w:t>
            </w:r>
          </w:p>
          <w:p w14:paraId="30EA4E6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Показова</w:t>
            </w:r>
          </w:p>
          <w:p w14:paraId="27CE171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285983A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left w:val="single" w:color="auto" w:sz="4" w:space="0"/>
            </w:tcBorders>
          </w:tcPr>
          <w:p w14:paraId="0D1BBE5D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правильного положення мушки зброї в прорізі прицільної планки;</w:t>
            </w:r>
          </w:p>
          <w:p w14:paraId="7C62A776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помилок, які виникають при прицілюванні</w:t>
            </w:r>
          </w:p>
          <w:p w14:paraId="6FBF441D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правильного прицілювання по різним цілям</w:t>
            </w:r>
          </w:p>
          <w:p w14:paraId="17A4FC42">
            <w:pPr>
              <w:numPr>
                <w:ilvl w:val="0"/>
                <w:numId w:val="3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пояснення правил корегування стрільби</w:t>
            </w:r>
          </w:p>
        </w:tc>
        <w:tc>
          <w:tcPr>
            <w:tcW w:w="699" w:type="dxa"/>
            <w:vAlign w:val="center"/>
          </w:tcPr>
          <w:p w14:paraId="6AB8E3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520CF7A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3B8670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8690" cy="1412875"/>
                  <wp:effectExtent l="0" t="0" r="6350" b="4445"/>
                  <wp:docPr id="8553933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9333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4175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612" w:type="dxa"/>
            <w:tcBorders>
              <w:left w:val="thinThickSmallGap" w:color="auto" w:sz="12" w:space="0"/>
            </w:tcBorders>
          </w:tcPr>
          <w:p w14:paraId="59603A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1476" w:type="dxa"/>
          </w:tcPr>
          <w:p w14:paraId="5BB058D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Мушка </w:t>
            </w:r>
          </w:p>
          <w:p w14:paraId="174E5B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показова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пристосуванням для магнітного</w:t>
            </w:r>
          </w:p>
          <w:p w14:paraId="340D747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тримача</w:t>
            </w:r>
          </w:p>
          <w:p w14:paraId="033ACBC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1A79DFC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3684" w:type="dxa"/>
          </w:tcPr>
          <w:p w14:paraId="16646B1F">
            <w:p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Використовується в комплекті з магнітним тримачем, для:</w:t>
            </w:r>
          </w:p>
          <w:p w14:paraId="256E52EF">
            <w:pPr>
              <w:pStyle w:val="11"/>
              <w:numPr>
                <w:ilvl w:val="0"/>
                <w:numId w:val="4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правильного положення мушки зброї в прорізі прицільної планки;</w:t>
            </w:r>
          </w:p>
          <w:p w14:paraId="147056E7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помилок, які виникають при прицілюванні</w:t>
            </w:r>
          </w:p>
          <w:p w14:paraId="34C28AD3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правильного прицілювання по різним цілям</w:t>
            </w:r>
          </w:p>
          <w:p w14:paraId="26548F41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пояснення правил корегування стрільби</w:t>
            </w:r>
          </w:p>
          <w:p w14:paraId="150878D9">
            <w:pPr>
              <w:numPr>
                <w:ilvl w:val="0"/>
                <w:numId w:val="4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видимого співвідношення розмірів прицільного приладу та цілі на різних відстанях (визначення дальності до цілі).</w:t>
            </w:r>
          </w:p>
        </w:tc>
        <w:tc>
          <w:tcPr>
            <w:tcW w:w="699" w:type="dxa"/>
            <w:vAlign w:val="center"/>
          </w:tcPr>
          <w:p w14:paraId="0110D4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DA9B1A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210F03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right w:val="single" w:color="auto" w:sz="4" w:space="0"/>
            </w:tcBorders>
            <w:vAlign w:val="center"/>
          </w:tcPr>
          <w:p w14:paraId="0EDC5B4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36A7736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103663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34F77B4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9325" cy="2309495"/>
                  <wp:effectExtent l="0" t="0" r="5715" b="6985"/>
                  <wp:docPr id="82235300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5300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3380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612" w:type="dxa"/>
            <w:tcBorders>
              <w:left w:val="thinThickSmallGap" w:color="auto" w:sz="12" w:space="0"/>
              <w:bottom w:val="single" w:color="auto" w:sz="4" w:space="0"/>
            </w:tcBorders>
          </w:tcPr>
          <w:p w14:paraId="0B4416D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1476" w:type="dxa"/>
            <w:tcBorders>
              <w:bottom w:val="single" w:color="auto" w:sz="4" w:space="0"/>
            </w:tcBorders>
          </w:tcPr>
          <w:p w14:paraId="4E2C3FC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Тримач </w:t>
            </w:r>
          </w:p>
          <w:p w14:paraId="12982F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магнітний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7370A79E">
            <w:pPr>
              <w:snapToGrid w:val="0"/>
              <w:ind w:right="-62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мушки показової</w:t>
            </w:r>
          </w:p>
        </w:tc>
        <w:tc>
          <w:tcPr>
            <w:tcW w:w="3684" w:type="dxa"/>
            <w:tcBorders>
              <w:bottom w:val="single" w:color="auto" w:sz="4" w:space="0"/>
            </w:tcBorders>
          </w:tcPr>
          <w:p w14:paraId="43DB480B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утримання прицільних пристосувань (мушки показової з магнітним тримачем, сіток оптичних прицілів) на металевій поверхні стрілецьких і гранатометної лінійок.</w:t>
            </w:r>
          </w:p>
        </w:tc>
        <w:tc>
          <w:tcPr>
            <w:tcW w:w="699" w:type="dxa"/>
            <w:tcBorders>
              <w:bottom w:val="single" w:color="auto" w:sz="4" w:space="0"/>
            </w:tcBorders>
            <w:vAlign w:val="center"/>
          </w:tcPr>
          <w:p w14:paraId="4947DD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981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50C4E5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266DC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1705" cy="1165860"/>
                  <wp:effectExtent l="0" t="0" r="13335" b="7620"/>
                  <wp:docPr id="5946395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639548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1D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5D73D2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1D52A85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Сітки </w:t>
            </w:r>
          </w:p>
          <w:p w14:paraId="070FCB0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оптичних прицілів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пристосуванням для тримача </w:t>
            </w:r>
          </w:p>
          <w:p w14:paraId="03ED57D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магнітного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43507E3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Призначені для навчання прицілюванню за допомогою денних й нічних оптичних прицілів різних зразків зброї.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E5B2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3AAE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40AEF7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val="ru-RU" w:eastAsia="ru-RU"/>
              </w:rPr>
            </w:pPr>
            <w:r>
              <w:drawing>
                <wp:inline distT="0" distB="0" distL="0" distR="0">
                  <wp:extent cx="2219325" cy="1299845"/>
                  <wp:effectExtent l="0" t="0" r="5715" b="10795"/>
                  <wp:docPr id="176526306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6306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8975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B9E203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6C478EF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Тримач магнітний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104371A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сіток оптичних прицілів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066C76EE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кріплення сіток оптичних прицілів на металевій поверхні стрілецьких і гранатометної лінійок.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5B9D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B3030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2EA9A0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0435" cy="1134745"/>
                  <wp:effectExtent l="0" t="0" r="14605" b="8255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19C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0629C0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62091C6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</w:t>
            </w:r>
          </w:p>
          <w:p w14:paraId="12935D0F">
            <w:pPr>
              <w:snapToGrid w:val="0"/>
              <w:ind w:right="-62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стрілецька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польовими (мнемонічними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)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правилами </w:t>
            </w:r>
          </w:p>
          <w:p w14:paraId="3A65CEC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стрільби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6EBBA42D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вивчення правил стрільби і прицілюванню із стрілецької зброї.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75F70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341B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5ED8AAB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242185" cy="1242695"/>
                  <wp:effectExtent l="0" t="0" r="13335" b="6985"/>
                  <wp:docPr id="2181030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0306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24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609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E0D27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49B377E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</w:t>
            </w:r>
          </w:p>
          <w:p w14:paraId="050AF84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гранатометна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польовими (мнемонічними) правилами</w:t>
            </w:r>
          </w:p>
          <w:p w14:paraId="10E2F00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стрільби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6D1F975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Призначена для вивчення правил стрільби і показу результатів вирішення вогневих задач із ручного протитанкового і станкового гранатометів та гармати БМП.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1548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8269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35AC12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2203450" cy="1338580"/>
                  <wp:effectExtent l="0" t="0" r="6350" b="2540"/>
                  <wp:docPr id="20005735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7355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66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57F4C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7FA66BD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2E8410C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Контрольна</w:t>
            </w:r>
          </w:p>
          <w:p w14:paraId="1B84EEA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55C3306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3C252681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визначення правильності виносу точки</w:t>
            </w:r>
          </w:p>
          <w:p w14:paraId="7842EE17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прицілювання з врахуванням поправок на вітер і на рух цілі.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A7319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26937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38B3711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170430" cy="1054735"/>
                  <wp:effectExtent l="0" t="0" r="8890" b="12065"/>
                  <wp:docPr id="2584284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28413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1CB0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CDFFF1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84947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1.17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1E3D84C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Указка</w:t>
            </w:r>
          </w:p>
          <w:p w14:paraId="391BE64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магнітна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оціночними отворами</w:t>
            </w:r>
          </w:p>
          <w:p w14:paraId="7E5D90F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68F8B3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2BDD2A21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перевірки правильності та одноманітності прицілювання на зменшеній дальності вдень та вночі.</w:t>
            </w:r>
          </w:p>
          <w:p w14:paraId="5EA609B4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Використовується разом з екраном та імітатором стрільби.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8FE59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79F7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66775B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0590" cy="1146810"/>
                  <wp:effectExtent l="0" t="0" r="13970" b="11430"/>
                  <wp:docPr id="9736407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64074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ED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9A3346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151D945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Імітатор </w:t>
            </w:r>
          </w:p>
          <w:p w14:paraId="2AD0369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стрільби</w:t>
            </w:r>
          </w:p>
          <w:p w14:paraId="10CB94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в умовах ночі</w:t>
            </w:r>
          </w:p>
          <w:p w14:paraId="6D1A40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317BF7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6118E73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6" w:name="_Hlk178588378"/>
            <w:r>
              <w:rPr>
                <w:rFonts w:eastAsia="Calibri"/>
                <w:bCs/>
                <w:sz w:val="20"/>
                <w:szCs w:val="20"/>
                <w:lang w:eastAsia="ru-RU"/>
              </w:rPr>
              <w:t>Бездротовий, 6 режимів (поодинокий постріл, здвоєний,</w:t>
            </w:r>
          </w:p>
          <w:p w14:paraId="136AD830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коротка черга, довга черга, безперервний, вимкнено), з функцією автоматичного відключення через 15 хвилин (якщо без використання).</w:t>
            </w:r>
            <w:bookmarkEnd w:id="6"/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F0165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95692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418BD6D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03450" cy="1056640"/>
                  <wp:effectExtent l="0" t="0" r="6350" b="10160"/>
                  <wp:docPr id="6588525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85257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93C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13FF7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7E07EAB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Екран</w:t>
            </w:r>
          </w:p>
          <w:p w14:paraId="10C3F47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4886B42D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72BB039A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Являє собою сталевий лист білого кольору для використання в складі додаткових пристроїв комплекту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DEF1D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F8C7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122DD6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8055" cy="1147445"/>
                  <wp:effectExtent l="0" t="0" r="6985" b="10795"/>
                  <wp:docPr id="194498313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983134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D4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E8FCFA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7" w:name="_Hlk178589972"/>
          </w:p>
          <w:p w14:paraId="3E1D884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1.20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0E00F44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Магніт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</w:t>
            </w:r>
          </w:p>
          <w:p w14:paraId="55A71A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кріплення </w:t>
            </w:r>
          </w:p>
          <w:p w14:paraId="06A17C5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екрану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7C2CCD9A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кріплення екрану а різних металевих поверхнях.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B1254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FC1E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530D93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04085" cy="1152525"/>
                  <wp:effectExtent l="0" t="0" r="5715" b="5715"/>
                  <wp:docPr id="7953255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32551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tr w14:paraId="3F82C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6A979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1.21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4EA922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Біндер- затискач</w:t>
            </w:r>
          </w:p>
          <w:p w14:paraId="498BB13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F1ABE8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100B632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закріплення та утримання паперу на екрані, та виконання інших кріпильних функцій.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5E466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C020D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5071F9A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8055" cy="970280"/>
                  <wp:effectExtent l="0" t="0" r="6985" b="5080"/>
                  <wp:docPr id="111661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193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AC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815D8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1.22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191F544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Ватерпас</w:t>
            </w:r>
          </w:p>
          <w:p w14:paraId="61F1275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7B7E547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387B7E13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контролю горизонтального положення</w:t>
            </w:r>
          </w:p>
          <w:p w14:paraId="74A069C1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прицільної планки під час прицілювання.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B6E61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51E8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46FA00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1070" cy="1036955"/>
                  <wp:effectExtent l="0" t="0" r="13970" b="14605"/>
                  <wp:docPr id="19354873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487333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A1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9EA244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1.23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167DDC9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Електронний</w:t>
            </w:r>
          </w:p>
          <w:p w14:paraId="7584FDF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Секундомір</w:t>
            </w:r>
          </w:p>
          <w:p w14:paraId="0A10273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28BDB9F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вимірювання інтервалів часу в годинах,</w:t>
            </w:r>
          </w:p>
          <w:p w14:paraId="1193B656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хвилинах, секундах, долях секунди.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23BC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3FEF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4B21781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8690" cy="1048385"/>
                  <wp:effectExtent l="0" t="0" r="6350" b="3175"/>
                  <wp:docPr id="638081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0812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97D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4B4CBA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1.24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66F590D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Оптоскоп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монокулярний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)</w:t>
            </w:r>
          </w:p>
          <w:p w14:paraId="75C1A93E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2186B160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візуального контролю за виконанням правил та вимог техніки прицілювання.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26D1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B489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39EFD3A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9960" cy="1025525"/>
                  <wp:effectExtent l="0" t="0" r="5080" b="10795"/>
                  <wp:docPr id="11909054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905404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81C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C316DE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8" w:name="_Hlk178589833"/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1.25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2F52454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Ліхтарик</w:t>
            </w:r>
          </w:p>
          <w:p w14:paraId="0238B97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(налобний)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30E48C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Для забезпечення місцевого освітлення учбового місця.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BCBD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FDFC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B8173E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03450" cy="956310"/>
                  <wp:effectExtent l="0" t="0" r="6350" b="3810"/>
                  <wp:docPr id="73894259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94259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14:paraId="66D72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98084F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1.26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027AD8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Прилад регулювання бою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стрілецької зброї універсальний </w:t>
            </w: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ПРБ-У)</w:t>
            </w:r>
          </w:p>
          <w:p w14:paraId="3DE1878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018B75D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1F3F1E3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bCs/>
                <w:sz w:val="20"/>
                <w:szCs w:val="20"/>
              </w:rPr>
              <w:t>Для регулювання основи мушки (пристрілки) бойової зброї (карабінів, автоматів, кулеметів) в горизонтальному (вправо- вліво) і вертикальному (вверх-вниз) напрямках. Повинен мати шкалу контроля внесення вертикальної поправки мушки та додатковий пристрій контролю горизонтального переміщення (поправки) полозка мушки, його  дискретність контролю складає 7.2 градуси (0.01 мм)</w:t>
            </w:r>
            <w:r>
              <w:rPr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48211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AC9F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930F94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03450" cy="1791970"/>
                  <wp:effectExtent l="0" t="0" r="6350" b="6350"/>
                  <wp:docPr id="3065317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3171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386A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6D9C3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1.27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4B3604A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Прицільно- пристрілочний станок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(розбірний, універсальний)</w:t>
            </w:r>
          </w:p>
          <w:p w14:paraId="725DEF0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18A7063B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5AA6CB7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для:</w:t>
            </w:r>
          </w:p>
          <w:p w14:paraId="4BD9743E">
            <w:pPr>
              <w:numPr>
                <w:ilvl w:val="0"/>
                <w:numId w:val="5"/>
              </w:num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навчання стрільби на дійсні та скорочені відстані вдень і вночі;</w:t>
            </w:r>
          </w:p>
          <w:p w14:paraId="704D55B2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-виявлення помилок, допущених при прицілюванні та здійсненні умовного пострілу по нерухомим і рухомим цілях, а також з виносом точки прицілювання з урахуванням поправки на боковий вітер;</w:t>
            </w:r>
          </w:p>
          <w:p w14:paraId="61DD926F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приведення зброї до нормального бою (пристрілка зброї (автомат, гвинтівка, гранатомет)) як бойовими набоями, так і методами «холодної пристрілки».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020C5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086E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BF2231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8210" cy="1905000"/>
                  <wp:effectExtent l="0" t="0" r="6350" b="0"/>
                  <wp:docPr id="134869189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91893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819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6546E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2029080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9" w:name="_Hlk178589570"/>
            <w:r>
              <w:rPr>
                <w:rFonts w:eastAsia="Calibri"/>
                <w:b/>
                <w:sz w:val="20"/>
                <w:szCs w:val="20"/>
                <w:lang w:eastAsia="ru-RU"/>
              </w:rPr>
              <w:t>Ключ спеціальний</w:t>
            </w:r>
          </w:p>
          <w:bookmarkEnd w:id="9"/>
          <w:p w14:paraId="6126A7F9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2306DFB7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10" w:name="_Hlk178589594"/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забезпечення фіксації вузлів станка ППС-17.</w:t>
            </w:r>
            <w:bookmarkEnd w:id="10"/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C1244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9AA05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18EF60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8210" cy="983615"/>
                  <wp:effectExtent l="0" t="0" r="6350" b="6985"/>
                  <wp:docPr id="117472736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736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AF0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98BF2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1.29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68D5106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Прилад для перевірки прицільних пристроїв для РПГ-7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(трубка холодної пристрілки)</w:t>
            </w:r>
          </w:p>
          <w:p w14:paraId="50E39B55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46CAEA23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вивірки та приведення до нормального бою без набоїв гранатомета РПГ7 з всіма типами прицілів (механічними, оптичними). Полегшений. Матеріал – легкосплавний метал.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3E29E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9F42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2872B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95195" cy="1174115"/>
                  <wp:effectExtent l="0" t="0" r="14605" b="14605"/>
                  <wp:docPr id="86114667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14667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65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404445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0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02BFB5C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Пристрій </w:t>
            </w:r>
          </w:p>
          <w:p w14:paraId="0FAC33E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для навчання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визначенню дальності до цілі по прицілу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5C511F9B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Призначено для навчання методу визначення відстані до цілі по прицілу вогнепальної зброї.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3DD5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477F7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2B29113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0590" cy="1261110"/>
                  <wp:effectExtent l="0" t="0" r="13970" b="3810"/>
                  <wp:docPr id="17585135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513529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C08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A0D5B4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6D747A7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288A9A1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універсальна для перевірки бою зброї</w:t>
            </w:r>
          </w:p>
          <w:p w14:paraId="684752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(габаритна)</w:t>
            </w:r>
          </w:p>
          <w:p w14:paraId="134738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40443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7286CF9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перевірки і приведення до нормального бою стрілецької зброї, як з відкритим, так і з нічним прицілами, а також снайперської гвинтівки з ПСО-1. Також використовується як додатковий матеріал при перевірці бою окремих типів гранатометів. Матеріал виробу: метал.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5C59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C4B4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6980DAF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03450" cy="1162685"/>
                  <wp:effectExtent l="0" t="0" r="6350" b="10795"/>
                  <wp:docPr id="18442635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635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F2E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8C76B6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756F880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52C3922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      Командирська</w:t>
            </w:r>
          </w:p>
          <w:p w14:paraId="33CA8875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7BE1C35F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визначення коротких відстаней, креслення геометричних фігур, ліній, тощо.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110F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2EC3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58EC151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25675" cy="1174115"/>
                  <wp:effectExtent l="0" t="0" r="14605" b="14605"/>
                  <wp:docPr id="20636332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63328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E39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91653D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789B5FC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офіцерська 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NATO</w:t>
            </w:r>
          </w:p>
          <w:p w14:paraId="7BB56A97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79C7303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визначення коротких відстаней, креслення геометричних фігур, ліній, тощо.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92B16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E66F7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</w:p>
          <w:p w14:paraId="52567821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</w:p>
          <w:p w14:paraId="6B50E00A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</w:p>
          <w:p w14:paraId="3BADD35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b/>
                <w:bCs w:val="0"/>
                <w:sz w:val="20"/>
                <w:szCs w:val="20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C89C1F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95830" cy="1036320"/>
                  <wp:effectExtent l="0" t="0" r="13970" b="0"/>
                  <wp:docPr id="9291778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787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AD8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50255F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/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</w:rPr>
              <w:t>1.</w:t>
            </w:r>
            <w:r>
              <w:rPr>
                <w:rFonts w:hint="default"/>
                <w:sz w:val="20"/>
                <w:szCs w:val="20"/>
                <w:lang w:val="uk-UA"/>
              </w:rPr>
              <w:t>34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05A8A28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11" w:name="_Hlk178589073"/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Світло відбиваючий ремінь безпеки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з наплічними лямками</w:t>
            </w:r>
            <w:bookmarkEnd w:id="11"/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3170A914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2" w:name="_Hlk178589130"/>
            <w:r>
              <w:rPr>
                <w:rFonts w:eastAsia="Calibri"/>
                <w:bCs/>
                <w:sz w:val="20"/>
                <w:szCs w:val="20"/>
                <w:lang w:eastAsia="ru-RU"/>
              </w:rPr>
              <w:t>Забезпечує високу видимість в темну пору доби, та заходи безпеки при проведенні занять в умовах ночі.</w:t>
            </w:r>
            <w:bookmarkEnd w:id="12"/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13446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5880B8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</w:p>
          <w:p w14:paraId="0D899062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</w:p>
          <w:p w14:paraId="1DFA9185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</w:p>
          <w:p w14:paraId="1F04CBAB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</w:p>
          <w:p w14:paraId="6033D89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b/>
                <w:bCs w:val="0"/>
                <w:sz w:val="20"/>
                <w:szCs w:val="20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5A5DDB2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18055" cy="1296035"/>
                  <wp:effectExtent l="0" t="0" r="6985" b="14605"/>
                  <wp:docPr id="13107502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5021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24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F5A20A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bookmarkStart w:id="13" w:name="_Hlk178590216"/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1.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35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5FA422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Лоток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зберігання</w:t>
            </w:r>
          </w:p>
          <w:p w14:paraId="36DDB48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Приладів</w:t>
            </w: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72632FE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зберігання складових виробу.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3185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46ED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0E7983C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7575" cy="1573530"/>
                  <wp:effectExtent l="0" t="0" r="6985" b="11430"/>
                  <wp:docPr id="49764027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40271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3"/>
      <w:tr w14:paraId="63837A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63B3FB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/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</w:rPr>
              <w:t>1.</w:t>
            </w:r>
            <w:r>
              <w:rPr>
                <w:rFonts w:hint="default"/>
                <w:sz w:val="20"/>
                <w:szCs w:val="20"/>
                <w:lang w:val="uk-UA"/>
              </w:rPr>
              <w:t>36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6A0954B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Комплект ЗІП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(викрутка, батареї, тощо)</w:t>
            </w:r>
          </w:p>
          <w:p w14:paraId="03047BA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096B5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2A68047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Приладдя та витратні матеріали які забезпечують належне функціонування пристроїв і приладів що входять в комплект КЯ. А саме: в</w:t>
            </w: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и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крутка, серветки, батареї.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AD44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416F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76C7A14A">
            <w:pPr>
              <w:snapToGrid w:val="0"/>
              <w:ind w:right="151"/>
              <w:contextualSpacing/>
              <w:jc w:val="center"/>
              <w:rPr>
                <w:rFonts w:eastAsia="Calibri"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8845" cy="1245235"/>
                  <wp:effectExtent l="0" t="0" r="5715" b="4445"/>
                  <wp:docPr id="136533727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33727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E25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5EC8EBF">
            <w:pPr>
              <w:snapToGrid w:val="0"/>
              <w:ind w:right="151"/>
              <w:contextualSpacing/>
              <w:jc w:val="center"/>
              <w:rPr>
                <w:rFonts w:hint="default"/>
                <w:sz w:val="20"/>
                <w:szCs w:val="20"/>
                <w:lang w:val="uk-UA"/>
              </w:rPr>
            </w:pPr>
            <w:r>
              <w:rPr>
                <w:rFonts w:hint="default"/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rFonts w:hint="default"/>
                <w:sz w:val="20"/>
                <w:szCs w:val="20"/>
                <w:lang w:val="uk-UA"/>
              </w:rPr>
              <w:t>37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1F2CFE1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Супровідна документація</w:t>
            </w:r>
          </w:p>
          <w:p w14:paraId="1C1BB35C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6DBC9A73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Паспорт-формуляр виробу з описом складових, методикою використання та дозвільно-методична документація.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7E194C">
            <w:pPr>
              <w:snapToGrid w:val="0"/>
              <w:ind w:right="151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D6BA0">
            <w:pPr>
              <w:snapToGrid w:val="0"/>
              <w:ind w:right="151"/>
              <w:contextualSpacing/>
              <w:jc w:val="center"/>
              <w:rPr>
                <w:b/>
                <w:bCs w:val="0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49740B4D">
            <w:pPr>
              <w:snapToGrid w:val="0"/>
              <w:ind w:right="151"/>
              <w:contextualSpacing/>
              <w:jc w:val="center"/>
              <w:rPr>
                <w:color w:val="FF0000"/>
                <w:sz w:val="20"/>
                <w:szCs w:val="20"/>
              </w:rPr>
            </w:pPr>
            <w:r>
              <w:drawing>
                <wp:inline distT="0" distB="0" distL="0" distR="0">
                  <wp:extent cx="2760980" cy="2740025"/>
                  <wp:effectExtent l="0" t="0" r="3175" b="12700"/>
                  <wp:docPr id="34162738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627381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0980" cy="274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6EF9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12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E37DFC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/>
                <w:sz w:val="20"/>
                <w:szCs w:val="20"/>
                <w:lang w:val="uk-UA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rFonts w:hint="default"/>
                <w:sz w:val="20"/>
                <w:szCs w:val="20"/>
                <w:lang w:val="uk-UA"/>
              </w:rPr>
              <w:t>38</w:t>
            </w:r>
          </w:p>
        </w:tc>
        <w:tc>
          <w:tcPr>
            <w:tcW w:w="1476" w:type="dxa"/>
            <w:tcBorders>
              <w:top w:val="single" w:color="auto" w:sz="4" w:space="0"/>
              <w:bottom w:val="single" w:color="auto" w:sz="4" w:space="0"/>
            </w:tcBorders>
          </w:tcPr>
          <w:p w14:paraId="6090656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Ящик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1E8EFC4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(футляр)</w:t>
            </w:r>
          </w:p>
          <w:p w14:paraId="6E712427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4" w:type="dxa"/>
            <w:tcBorders>
              <w:top w:val="single" w:color="auto" w:sz="4" w:space="0"/>
              <w:bottom w:val="single" w:color="auto" w:sz="4" w:space="0"/>
            </w:tcBorders>
          </w:tcPr>
          <w:p w14:paraId="0584EFBF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укладки та закріплення у ньому приладів та пристосувань, а також для розміщення на ньому екрана при користуванні магнітною указкою. Має вбудовану секцію для укладки лінійок стрілецьких та гвинт кріплення до корпусу лінійки габаритної.</w:t>
            </w: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995CD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C4FB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</w:tcPr>
          <w:p w14:paraId="6B0A47B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88845" cy="1345565"/>
                  <wp:effectExtent l="0" t="0" r="5715" b="10795"/>
                  <wp:docPr id="12219101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910135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AFB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</w:trPr>
        <w:tc>
          <w:tcPr>
            <w:tcW w:w="6471" w:type="dxa"/>
            <w:gridSpan w:val="4"/>
            <w:tcBorders>
              <w:top w:val="single" w:color="auto" w:sz="4" w:space="0"/>
              <w:left w:val="thinThickSmallGap" w:color="auto" w:sz="12" w:space="0"/>
              <w:bottom w:val="thickThinSmallGap" w:color="auto" w:sz="12" w:space="0"/>
            </w:tcBorders>
          </w:tcPr>
          <w:p w14:paraId="603B60E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ВСЬОГО ПОЗИЦІЙ КОМПЛЕКТУЮЧИХ</w:t>
            </w:r>
          </w:p>
        </w:tc>
        <w:tc>
          <w:tcPr>
            <w:tcW w:w="981" w:type="dxa"/>
            <w:tcBorders>
              <w:top w:val="single" w:color="auto" w:sz="4" w:space="0"/>
              <w:bottom w:val="thickThinSmallGap" w:color="auto" w:sz="12" w:space="0"/>
              <w:right w:val="single" w:color="auto" w:sz="4" w:space="0"/>
            </w:tcBorders>
            <w:vAlign w:val="center"/>
          </w:tcPr>
          <w:p w14:paraId="61007A7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487" w:type="dxa"/>
            <w:tcBorders>
              <w:top w:val="single" w:color="auto" w:sz="4" w:space="0"/>
              <w:bottom w:val="thickThinSmallGap" w:color="auto" w:sz="12" w:space="0"/>
              <w:right w:val="thickThinSmallGap" w:color="auto" w:sz="12" w:space="0"/>
            </w:tcBorders>
            <w:vAlign w:val="center"/>
          </w:tcPr>
          <w:p w14:paraId="6C4EE4E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FF0000"/>
                <w:sz w:val="20"/>
                <w:szCs w:val="20"/>
                <w:lang w:eastAsia="ru-RU"/>
              </w:rPr>
            </w:pPr>
          </w:p>
        </w:tc>
      </w:tr>
    </w:tbl>
    <w:p w14:paraId="54526C57">
      <w:pPr>
        <w:ind w:right="1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</w:t>
      </w:r>
    </w:p>
    <w:p w14:paraId="4288A9A0">
      <w:pPr>
        <w:ind w:right="151"/>
        <w:rPr>
          <w:sz w:val="24"/>
          <w:szCs w:val="24"/>
        </w:rPr>
      </w:pPr>
    </w:p>
    <w:sectPr>
      <w:pgSz w:w="11910" w:h="16840"/>
      <w:pgMar w:top="426" w:right="610" w:bottom="803" w:left="5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Cambria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CECB2F"/>
    <w:multiLevelType w:val="singleLevel"/>
    <w:tmpl w:val="EACECB2F"/>
    <w:lvl w:ilvl="0" w:tentative="0">
      <w:start w:val="1"/>
      <w:numFmt w:val="decimal"/>
      <w:lvlText w:val="%1."/>
      <w:lvlJc w:val="left"/>
    </w:lvl>
  </w:abstractNum>
  <w:abstractNum w:abstractNumId="1">
    <w:nsid w:val="2BF2D713"/>
    <w:multiLevelType w:val="singleLevel"/>
    <w:tmpl w:val="2BF2D713"/>
    <w:lvl w:ilvl="0" w:tentative="0">
      <w:start w:val="3"/>
      <w:numFmt w:val="decimal"/>
      <w:lvlText w:val="%1."/>
      <w:lvlJc w:val="left"/>
    </w:lvl>
  </w:abstractNum>
  <w:abstractNum w:abstractNumId="2">
    <w:nsid w:val="56764031"/>
    <w:multiLevelType w:val="multilevel"/>
    <w:tmpl w:val="56764031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abstractNum w:abstractNumId="3">
    <w:nsid w:val="6CB35AE5"/>
    <w:multiLevelType w:val="multilevel"/>
    <w:tmpl w:val="6CB35AE5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abstractNum w:abstractNumId="4">
    <w:nsid w:val="7FC616A8"/>
    <w:multiLevelType w:val="multilevel"/>
    <w:tmpl w:val="7FC616A8"/>
    <w:lvl w:ilvl="0" w:tentative="0">
      <w:start w:val="0"/>
      <w:numFmt w:val="bullet"/>
      <w:lvlText w:val="-"/>
      <w:lvlJc w:val="left"/>
      <w:pPr>
        <w:ind w:left="11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731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343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1954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566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17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789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01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12" w:hanging="13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6455"/>
    <w:rsid w:val="00004101"/>
    <w:rsid w:val="00011AEB"/>
    <w:rsid w:val="00050DC5"/>
    <w:rsid w:val="00054174"/>
    <w:rsid w:val="00065EB1"/>
    <w:rsid w:val="0007170F"/>
    <w:rsid w:val="000931B2"/>
    <w:rsid w:val="00094617"/>
    <w:rsid w:val="000E14B5"/>
    <w:rsid w:val="000E2B44"/>
    <w:rsid w:val="000F3C89"/>
    <w:rsid w:val="0012076C"/>
    <w:rsid w:val="00120D92"/>
    <w:rsid w:val="00135D33"/>
    <w:rsid w:val="00146FD2"/>
    <w:rsid w:val="00171BAA"/>
    <w:rsid w:val="0017611E"/>
    <w:rsid w:val="00184D38"/>
    <w:rsid w:val="001A4AF0"/>
    <w:rsid w:val="001C4808"/>
    <w:rsid w:val="00200209"/>
    <w:rsid w:val="00211C07"/>
    <w:rsid w:val="002176DF"/>
    <w:rsid w:val="00227946"/>
    <w:rsid w:val="00242C5D"/>
    <w:rsid w:val="002459FA"/>
    <w:rsid w:val="002860AF"/>
    <w:rsid w:val="00286964"/>
    <w:rsid w:val="002978B6"/>
    <w:rsid w:val="002A020E"/>
    <w:rsid w:val="002A4BDB"/>
    <w:rsid w:val="002B2138"/>
    <w:rsid w:val="002C7793"/>
    <w:rsid w:val="002D01C3"/>
    <w:rsid w:val="002E700E"/>
    <w:rsid w:val="002E7E5B"/>
    <w:rsid w:val="002F2700"/>
    <w:rsid w:val="002F2AA6"/>
    <w:rsid w:val="002F2DBD"/>
    <w:rsid w:val="002F3634"/>
    <w:rsid w:val="00316124"/>
    <w:rsid w:val="00336E05"/>
    <w:rsid w:val="00340A29"/>
    <w:rsid w:val="00370CF0"/>
    <w:rsid w:val="003A388D"/>
    <w:rsid w:val="003C31F5"/>
    <w:rsid w:val="003D08E4"/>
    <w:rsid w:val="003D3D11"/>
    <w:rsid w:val="003E635E"/>
    <w:rsid w:val="003E73DE"/>
    <w:rsid w:val="004039BA"/>
    <w:rsid w:val="0041172C"/>
    <w:rsid w:val="004317F0"/>
    <w:rsid w:val="004710DD"/>
    <w:rsid w:val="004730F0"/>
    <w:rsid w:val="004871E8"/>
    <w:rsid w:val="00495667"/>
    <w:rsid w:val="004B3898"/>
    <w:rsid w:val="004D0CD6"/>
    <w:rsid w:val="004F0592"/>
    <w:rsid w:val="004F6F50"/>
    <w:rsid w:val="0050563A"/>
    <w:rsid w:val="00507D71"/>
    <w:rsid w:val="00510CFA"/>
    <w:rsid w:val="00534863"/>
    <w:rsid w:val="00536EFC"/>
    <w:rsid w:val="00540258"/>
    <w:rsid w:val="00552C4D"/>
    <w:rsid w:val="00554542"/>
    <w:rsid w:val="00566665"/>
    <w:rsid w:val="005676F6"/>
    <w:rsid w:val="0057263E"/>
    <w:rsid w:val="005742B8"/>
    <w:rsid w:val="0058409E"/>
    <w:rsid w:val="005865BE"/>
    <w:rsid w:val="005957DD"/>
    <w:rsid w:val="005A5F2E"/>
    <w:rsid w:val="005B3BF5"/>
    <w:rsid w:val="005C0244"/>
    <w:rsid w:val="005D15A0"/>
    <w:rsid w:val="005E51C4"/>
    <w:rsid w:val="005F1B3C"/>
    <w:rsid w:val="005F4620"/>
    <w:rsid w:val="00604011"/>
    <w:rsid w:val="00625C47"/>
    <w:rsid w:val="00630875"/>
    <w:rsid w:val="00656167"/>
    <w:rsid w:val="00657275"/>
    <w:rsid w:val="00675751"/>
    <w:rsid w:val="00682B3D"/>
    <w:rsid w:val="00687FBB"/>
    <w:rsid w:val="00693DCA"/>
    <w:rsid w:val="00694E84"/>
    <w:rsid w:val="006A6B19"/>
    <w:rsid w:val="006B6134"/>
    <w:rsid w:val="006C3C58"/>
    <w:rsid w:val="006D305D"/>
    <w:rsid w:val="006D3122"/>
    <w:rsid w:val="006E2A27"/>
    <w:rsid w:val="006E410E"/>
    <w:rsid w:val="006F41ED"/>
    <w:rsid w:val="00707C49"/>
    <w:rsid w:val="007220D8"/>
    <w:rsid w:val="00731690"/>
    <w:rsid w:val="00740ADB"/>
    <w:rsid w:val="00743C7E"/>
    <w:rsid w:val="00752190"/>
    <w:rsid w:val="00755CA8"/>
    <w:rsid w:val="00756C09"/>
    <w:rsid w:val="00766CD0"/>
    <w:rsid w:val="00794F36"/>
    <w:rsid w:val="007A04AF"/>
    <w:rsid w:val="007B08AB"/>
    <w:rsid w:val="007C1AED"/>
    <w:rsid w:val="007D430F"/>
    <w:rsid w:val="007F6C26"/>
    <w:rsid w:val="00802F08"/>
    <w:rsid w:val="00803166"/>
    <w:rsid w:val="0081284E"/>
    <w:rsid w:val="0086120E"/>
    <w:rsid w:val="00864FA7"/>
    <w:rsid w:val="008A750A"/>
    <w:rsid w:val="008B0762"/>
    <w:rsid w:val="008B0BB8"/>
    <w:rsid w:val="008B27B5"/>
    <w:rsid w:val="008B7528"/>
    <w:rsid w:val="008F331D"/>
    <w:rsid w:val="008F4ED8"/>
    <w:rsid w:val="009016E0"/>
    <w:rsid w:val="009076B5"/>
    <w:rsid w:val="0091256C"/>
    <w:rsid w:val="00940F05"/>
    <w:rsid w:val="00957EC1"/>
    <w:rsid w:val="00960226"/>
    <w:rsid w:val="009724D7"/>
    <w:rsid w:val="009A23C9"/>
    <w:rsid w:val="009A5F2D"/>
    <w:rsid w:val="009A6BBC"/>
    <w:rsid w:val="009D6945"/>
    <w:rsid w:val="00A32B8D"/>
    <w:rsid w:val="00A3608F"/>
    <w:rsid w:val="00A84125"/>
    <w:rsid w:val="00A947CF"/>
    <w:rsid w:val="00A94C2D"/>
    <w:rsid w:val="00AA1C57"/>
    <w:rsid w:val="00AA2E4F"/>
    <w:rsid w:val="00AB2DCC"/>
    <w:rsid w:val="00AB5D64"/>
    <w:rsid w:val="00AC7E11"/>
    <w:rsid w:val="00AD2605"/>
    <w:rsid w:val="00AF79DC"/>
    <w:rsid w:val="00B04331"/>
    <w:rsid w:val="00B160C2"/>
    <w:rsid w:val="00B45902"/>
    <w:rsid w:val="00B61256"/>
    <w:rsid w:val="00B72B0F"/>
    <w:rsid w:val="00B76455"/>
    <w:rsid w:val="00B80710"/>
    <w:rsid w:val="00B820FE"/>
    <w:rsid w:val="00BA1CA1"/>
    <w:rsid w:val="00BA32C7"/>
    <w:rsid w:val="00BB5E32"/>
    <w:rsid w:val="00BD0765"/>
    <w:rsid w:val="00BD6065"/>
    <w:rsid w:val="00BD65B7"/>
    <w:rsid w:val="00BD79C4"/>
    <w:rsid w:val="00BF5637"/>
    <w:rsid w:val="00C0107B"/>
    <w:rsid w:val="00C01396"/>
    <w:rsid w:val="00C068CD"/>
    <w:rsid w:val="00C07AED"/>
    <w:rsid w:val="00C24701"/>
    <w:rsid w:val="00C43847"/>
    <w:rsid w:val="00C44203"/>
    <w:rsid w:val="00C457DD"/>
    <w:rsid w:val="00C508EC"/>
    <w:rsid w:val="00CB4FAC"/>
    <w:rsid w:val="00CC40FC"/>
    <w:rsid w:val="00CD2915"/>
    <w:rsid w:val="00CE09CB"/>
    <w:rsid w:val="00CF50F7"/>
    <w:rsid w:val="00D068EA"/>
    <w:rsid w:val="00D11F8F"/>
    <w:rsid w:val="00D3498D"/>
    <w:rsid w:val="00D34CD7"/>
    <w:rsid w:val="00D45124"/>
    <w:rsid w:val="00D51E47"/>
    <w:rsid w:val="00D60A16"/>
    <w:rsid w:val="00D65E39"/>
    <w:rsid w:val="00DB06B9"/>
    <w:rsid w:val="00DC31FB"/>
    <w:rsid w:val="00DD7713"/>
    <w:rsid w:val="00E247D0"/>
    <w:rsid w:val="00E37A56"/>
    <w:rsid w:val="00E42743"/>
    <w:rsid w:val="00E464F9"/>
    <w:rsid w:val="00E51A80"/>
    <w:rsid w:val="00E5447C"/>
    <w:rsid w:val="00E55061"/>
    <w:rsid w:val="00E5585B"/>
    <w:rsid w:val="00E67635"/>
    <w:rsid w:val="00EC5774"/>
    <w:rsid w:val="00F05920"/>
    <w:rsid w:val="00F24BBF"/>
    <w:rsid w:val="00F252B0"/>
    <w:rsid w:val="00F450BF"/>
    <w:rsid w:val="00F5444C"/>
    <w:rsid w:val="00F54F10"/>
    <w:rsid w:val="00F61B97"/>
    <w:rsid w:val="00F802DD"/>
    <w:rsid w:val="00F855BE"/>
    <w:rsid w:val="00F90A57"/>
    <w:rsid w:val="00F97EC3"/>
    <w:rsid w:val="00FA3475"/>
    <w:rsid w:val="00FA7953"/>
    <w:rsid w:val="00FD7B98"/>
    <w:rsid w:val="00FE0EC2"/>
    <w:rsid w:val="00FE1900"/>
    <w:rsid w:val="00FF130C"/>
    <w:rsid w:val="1098186F"/>
    <w:rsid w:val="10F87E52"/>
    <w:rsid w:val="120635AB"/>
    <w:rsid w:val="18AF1995"/>
    <w:rsid w:val="1D0F3C30"/>
    <w:rsid w:val="252238B0"/>
    <w:rsid w:val="28875491"/>
    <w:rsid w:val="2EFD3025"/>
    <w:rsid w:val="2F227E0A"/>
    <w:rsid w:val="3A6C6B5C"/>
    <w:rsid w:val="3C156448"/>
    <w:rsid w:val="42CD759C"/>
    <w:rsid w:val="446E1F7F"/>
    <w:rsid w:val="45293159"/>
    <w:rsid w:val="50845C6C"/>
    <w:rsid w:val="50B04C43"/>
    <w:rsid w:val="55CA44A1"/>
    <w:rsid w:val="5871243D"/>
    <w:rsid w:val="5AEB6C7B"/>
    <w:rsid w:val="67C904C7"/>
    <w:rsid w:val="6AD67E26"/>
    <w:rsid w:val="733533B4"/>
    <w:rsid w:val="76F32FB8"/>
    <w:rsid w:val="78324D0A"/>
    <w:rsid w:val="792B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qFormat/>
    <w:uiPriority w:val="1"/>
    <w:rPr>
      <w:b/>
      <w:bCs/>
      <w:i/>
      <w:iCs/>
      <w:sz w:val="28"/>
      <w:szCs w:val="28"/>
    </w:rPr>
  </w:style>
  <w:style w:type="table" w:styleId="7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аголовок 11"/>
    <w:basedOn w:val="1"/>
    <w:qFormat/>
    <w:uiPriority w:val="1"/>
    <w:pPr>
      <w:spacing w:before="1"/>
      <w:ind w:left="507"/>
      <w:outlineLvl w:val="1"/>
    </w:pPr>
    <w:rPr>
      <w:b/>
      <w:bCs/>
      <w:sz w:val="32"/>
      <w:szCs w:val="32"/>
      <w:u w:val="single" w:color="000000"/>
    </w:rPr>
  </w:style>
  <w:style w:type="paragraph" w:customStyle="1" w:styleId="10">
    <w:name w:val="Заголовок 21"/>
    <w:basedOn w:val="1"/>
    <w:qFormat/>
    <w:uiPriority w:val="1"/>
    <w:pPr>
      <w:ind w:left="507"/>
      <w:jc w:val="center"/>
      <w:outlineLvl w:val="2"/>
    </w:pPr>
    <w:rPr>
      <w:b/>
      <w:bCs/>
      <w:sz w:val="28"/>
      <w:szCs w:val="28"/>
    </w:rPr>
  </w:style>
  <w:style w:type="paragraph" w:styleId="11">
    <w:name w:val="List Paragraph"/>
    <w:basedOn w:val="1"/>
    <w:qFormat/>
    <w:uiPriority w:val="34"/>
    <w:pPr>
      <w:ind w:left="666" w:hanging="284"/>
      <w:jc w:val="both"/>
    </w:pPr>
  </w:style>
  <w:style w:type="paragraph" w:customStyle="1" w:styleId="12">
    <w:name w:val="Table Paragraph"/>
    <w:basedOn w:val="1"/>
    <w:qFormat/>
    <w:uiPriority w:val="1"/>
    <w:pPr>
      <w:jc w:val="center"/>
    </w:pPr>
  </w:style>
  <w:style w:type="character" w:customStyle="1" w:styleId="13">
    <w:name w:val="Текст выноски Знак"/>
    <w:basedOn w:val="2"/>
    <w:link w:val="5"/>
    <w:semiHidden/>
    <w:qFormat/>
    <w:uiPriority w:val="99"/>
    <w:rPr>
      <w:rFonts w:ascii="Tahoma" w:hAnsi="Tahoma" w:eastAsia="Times New Roman" w:cs="Tahoma"/>
      <w:sz w:val="16"/>
      <w:szCs w:val="16"/>
      <w:lang w:val="uk-UA"/>
    </w:rPr>
  </w:style>
  <w:style w:type="table" w:customStyle="1" w:styleId="14">
    <w:name w:val="Сетка таблицы1"/>
    <w:basedOn w:val="3"/>
    <w:qFormat/>
    <w:uiPriority w:val="59"/>
    <w:rPr>
      <w:lang w:val="uk-UA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5">
    <w:name w:val="Неразрешенное упоминание1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numbering" Target="numbering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microsoft.com/office/2007/relationships/hdphoto" Target="media/image29.wdp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20DFF-03EC-4538-AD35-73FB9AA76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2199</Words>
  <Characters>12536</Characters>
  <Lines>104</Lines>
  <Paragraphs>29</Paragraphs>
  <TotalTime>0</TotalTime>
  <ScaleCrop>false</ScaleCrop>
  <LinksUpToDate>false</LinksUpToDate>
  <CharactersWithSpaces>14706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2023-03-20T11:08:00Z</dcterms:created>
  <dc:creator>Ьф</dc:creator>
  <cp:lastModifiedBy>Alex</cp:lastModifiedBy>
  <cp:lastPrinted>2024-06-24T13:00:00Z</cp:lastPrinted>
  <dcterms:modified xsi:type="dcterms:W3CDTF">2025-07-31T06:24:05Z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2023-03-20T00:00:00Z</vt:filetime>
  </property>
  <property fmtid="{D5CDD505-2E9C-101B-9397-08002B2CF9AE}" pid="5" name="KSOProductBuildVer">
    <vt:lpwstr>1049-12.2.0.21931</vt:lpwstr>
  </property>
  <property fmtid="{D5CDD505-2E9C-101B-9397-08002B2CF9AE}" pid="6" name="ICV">
    <vt:lpwstr>945D6C8DE1FA4D379AC71FF0F221A590_12</vt:lpwstr>
  </property>
</Properties>
</file>